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Eligibility for occupational license, registration or permit</w:t>
      </w:r>
    </w:p>
    <w:p>
      <w:pPr>
        <w:jc w:val="both"/>
        <w:spacing w:before="100" w:after="0"/>
        <w:ind w:start="360"/>
        <w:ind w:firstLine="360"/>
      </w:pPr>
      <w:r>
        <w:rPr>
          <w:b/>
        </w:rPr>
        <w:t>1</w:t>
        <w:t xml:space="preserve">.  </w:t>
      </w:r>
      <w:r>
        <w:rPr>
          <w:b/>
        </w:rPr>
        <w:t xml:space="preserve">Effect of criminal history record information respecting certain convictions.</w:t>
        <w:t xml:space="preserve"> </w:t>
      </w:r>
      <w:r>
        <w:t xml:space="preserve"> </w:t>
      </w:r>
      <w:r>
        <w:t xml:space="preserve">Subject to </w:t>
      </w:r>
      <w:r>
        <w:t>subsection 2</w:t>
      </w:r>
      <w:r>
        <w:t xml:space="preserve"> and </w:t>
      </w:r>
      <w:r>
        <w:t>sections 5302</w:t>
      </w:r>
      <w:r>
        <w:t xml:space="preserve"> and </w:t>
      </w:r>
      <w:r>
        <w:t>5303</w:t>
      </w:r>
      <w:r>
        <w:t xml:space="preserve">, in determining eligibility for the granting of any occupational license, registration or permit issued by the State, the appropriate State licensing agency may take into consideration criminal history record information from Maine or elsewhere relating to certain convictions which have not been set aside or for which a full and free pardon has not been granted, but the existence of such information shall not operate as an automatic bar to being licensed, registered or permitted to practice any profession, trade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§1 (AMD).]</w:t>
      </w:r>
    </w:p>
    <w:p>
      <w:pPr>
        <w:jc w:val="both"/>
        <w:spacing w:before="100" w:after="100"/>
        <w:ind w:start="360"/>
        <w:ind w:firstLine="360"/>
      </w:pPr>
      <w:r>
        <w:rPr>
          <w:b/>
        </w:rPr>
        <w:t>2</w:t>
        <w:t xml:space="preserve">.  </w:t>
      </w:r>
      <w:r>
        <w:rPr>
          <w:b/>
        </w:rPr>
        <w:t xml:space="preserve">Criminal history record information which may be considered.</w:t>
        <w:t xml:space="preserve"> </w:t>
      </w:r>
      <w:r>
        <w:t xml:space="preserve"> </w:t>
      </w:r>
      <w:r>
        <w:t xml:space="preserve">A licensing agency may use in connection with an application for an occupational license, registration or permit criminal history record information pertaining to the following:</w:t>
      </w:r>
    </w:p>
    <w:p>
      <w:pPr>
        <w:jc w:val="both"/>
        <w:spacing w:before="100" w:after="0"/>
        <w:ind w:start="720"/>
      </w:pPr>
      <w:r>
        <w:rPr/>
        <w:t>A</w:t>
        <w:t xml:space="preserve">.  </w:t>
      </w:r>
      <w:r>
        <w:rPr/>
      </w:r>
      <w:r>
        <w:t xml:space="preserve">Convictions for which incarceration for less than one year may be imposed and which involve dishonesty or false statement;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B</w:t>
        <w:t xml:space="preserve">.  </w:t>
      </w:r>
      <w:r>
        <w:rPr/>
      </w:r>
      <w:r>
        <w:t xml:space="preserve">Convictions for which incarceration for less than one year may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C</w:t>
        <w:t xml:space="preserve">.  </w:t>
      </w:r>
      <w:r>
        <w:rPr/>
      </w:r>
      <w:r>
        <w:t xml:space="preserve">Convictions for which no incarceration can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D</w:t>
        <w:t xml:space="preserve">.  </w:t>
      </w:r>
      <w:r>
        <w:rPr/>
      </w:r>
      <w:r>
        <w:t xml:space="preserve">Convictions for which incarceration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E</w:t>
        <w:t xml:space="preserve">.  </w:t>
      </w:r>
      <w:r>
        <w:rPr/>
      </w:r>
      <w:r>
        <w:t xml:space="preserve">Convictions for which incarceration for less than one year may be imposed and that involve sexual misconduct by an applicant for massage therapy licensure or a licensed massage therapist or an applicant or licensee of the Board of Licensure in Medicine, the Board of Osteopathic Licensure, the Board of Dental Practice, the State Board of Examiners of Psychologists, the State Board of Social Worker Licensure, the Board of Chiropractic Licensure,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the Board of Trustees of the Maine Criminal Justice Academy, the State Board of Nursing and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§1 (RPR). PL 1989, c. 84, §1 (AMD). PL 1993, c. 600, §§B20-22 (AMD). PL 1995, c. 131, §1 (AMD). PL 1995, c. 162, §1 (AMD). PL 1995, c. 625, §A11 (AMD). PL 2005, c. 347, §A1 (AMD). PL 2007, c. 369, Pt. A, §1 (AMD). PL 2007, c. 369, Pt. C, §5 (AFF). PL 2011, c. 286, Pt. O, §1 (AMD). PL 2015, c. 429,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§5301. Eligibility for occupational license, registration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Eligibility for occupational license, registration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§5301. ELIGIBILITY FOR OCCUPATIONAL LICENSE, REGISTRATION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