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§4553-A. Physical or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§4553-A. PHYSICAL OR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