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44-A</w:t>
        <w:t xml:space="preserve">.  </w:t>
      </w:r>
      <w:r>
        <w:rPr>
          <w:b/>
        </w:rPr>
        <w:t xml:space="preserve">Out-of-state travel report</w:t>
      </w:r>
    </w:p>
    <w:p>
      <w:pPr>
        <w:jc w:val="both"/>
        <w:spacing w:before="100" w:after="100"/>
        <w:ind w:start="360"/>
        <w:ind w:firstLine="360"/>
      </w:pPr>
      <w:r>
        <w:rPr/>
      </w:r>
      <w:r>
        <w:rPr/>
      </w:r>
      <w:r>
        <w:t xml:space="preserve">All state agencies shall, within 15 days after the end of each quarter, submit to the joint standing committee of the Legislature having jurisdiction over appropriations and financial affairs a report of that quarter's out-of-state travel activity.  For the purposes of this section, a state agency is any state department or agency, or any part of a state department or agency, that receives an appropriation or an allocation through the state budget process.  The report must reflect, for each individual who has been authorized by the agency to travel, the destination, purpose and cost by funding source of each trip.</w:t>
      </w:r>
      <w:r>
        <w:t xml:space="preserve">  </w:t>
      </w:r>
      <w:r xmlns:wp="http://schemas.openxmlformats.org/drawingml/2010/wordprocessingDrawing" xmlns:w15="http://schemas.microsoft.com/office/word/2012/wordml">
        <w:rPr>
          <w:rFonts w:ascii="Arial" w:hAnsi="Arial" w:cs="Arial"/>
          <w:sz w:val="22"/>
          <w:szCs w:val="22"/>
        </w:rPr>
        <w:t xml:space="preserve">[PL 1991, c. 622, Pt. L,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622, §L7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§44-A. Out-of-state travel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§44-A. Out-of-state travel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§44-A. OUT-OF-STATE TRAVEL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