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3360-A</w:t>
        <w:t xml:space="preserve">.  </w:t>
      </w:r>
      <w:r>
        <w:rPr>
          <w:b/>
        </w:rPr>
        <w:t xml:space="preserve">Victims' Compensation Board established;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the Attorney General the Victims' Compensation Board.  The board consists of 5 members appointed by the Attorney General.  One member must be a physician licensed to practice medicine in the State; one member must be an attorney licensed to practice law in the State; one member must be experienced in working with victims of crime; and, beginning July 1, 2022, one member must be knowledgeable about insurance claims regarding property damage or replacement and one member must represent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is 3 years.  The Attorney General shall make initial appointments for the following terms:  one member for an initial term of 3 years, one member for an initial term of 2 years and one member for an initial term of one year.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3</w:t>
        <w:t xml:space="preserve">.  </w:t>
      </w:r>
      <w:r>
        <w:rPr>
          <w:b/>
        </w:rPr>
        <w:t xml:space="preserve">Chair.</w:t>
        <w:t xml:space="preserve"> </w:t>
      </w:r>
      <w:r>
        <w:t xml:space="preserve"> </w:t>
      </w:r>
      <w:r>
        <w:t xml:space="preserve">Annually, the members shall elect a chair from among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the legislative per diem plus compensation for actual and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5</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0"/>
        <w:ind w:start="360"/>
        <w:ind w:firstLine="360"/>
      </w:pPr>
      <w:r>
        <w:rPr>
          <w:b/>
        </w:rPr>
        <w:t>6</w:t>
        <w:t xml:space="preserve">.  </w:t>
      </w:r>
      <w:r>
        <w:rPr>
          <w:b/>
        </w:rPr>
        <w:t xml:space="preserve">Quorum.</w:t>
        <w:t xml:space="preserve"> </w:t>
      </w:r>
      <w:r>
        <w:t xml:space="preserve"> </w:t>
      </w:r>
      <w:r>
        <w:t xml:space="preserve">Two members of the board constitute a quorum and, beginning July 1, 2022, 3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§2 (AMD).]</w:t>
      </w:r>
    </w:p>
    <w:p>
      <w:pPr>
        <w:jc w:val="both"/>
        <w:spacing w:before="100" w:after="0"/>
        <w:ind w:start="360"/>
        <w:ind w:firstLine="360"/>
      </w:pPr>
      <w:r>
        <w:rPr>
          <w:b/>
        </w:rPr>
        <w:t>7</w:t>
        <w:t xml:space="preserve">.  </w:t>
      </w:r>
      <w:r>
        <w:rPr>
          <w:b/>
        </w:rPr>
        <w:t xml:space="preserve">Rules.</w:t>
        <w:t xml:space="preserve"> </w:t>
      </w:r>
      <w:r>
        <w:t xml:space="preserve"> </w:t>
      </w:r>
      <w:r>
        <w:t xml:space="preserve">The board may adopt rules pursuant to the Maine Administrative Procedure Act to carry out the purposes of this chapter and, beginning July 1, 2022, the purposes of </w:t>
      </w:r>
      <w:r>
        <w:t>chapter 316‑C</w:t>
      </w:r>
      <w:r>
        <w:t xml:space="preserve">.  Rules adopted pursuant to this subsection are routine technical rules as defined by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§3 (AMD).]</w:t>
      </w:r>
    </w:p>
    <w:p>
      <w:pPr>
        <w:jc w:val="both"/>
        <w:spacing w:before="100" w:after="0"/>
        <w:ind w:start="360"/>
        <w:ind w:firstLine="360"/>
      </w:pPr>
      <w:r>
        <w:rPr>
          <w:b/>
        </w:rPr>
        <w:t>8</w:t>
        <w:t xml:space="preserve">.  </w:t>
      </w:r>
      <w:r>
        <w:rPr>
          <w:b/>
        </w:rPr>
        <w:t xml:space="preserve">Duties.</w:t>
        <w:t xml:space="preserve"> </w:t>
      </w:r>
      <w:r>
        <w:t xml:space="preserve"> </w:t>
      </w:r>
      <w:r>
        <w:t xml:space="preserve">The board shall perform the duties assigned to it in this chapter and, effective July 1, 2022, the duties assigned in </w:t>
      </w:r>
      <w:r>
        <w:t>chapter 316‑C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2019, c. 549,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§3360-A. Victims' Compensation Board established;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§3360-A. Victims' Compensation Board established;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§3360-A. VICTIMS' COMPENSATION BOARD ESTABLISHED;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