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0"/>
        <w:ind w:start="360"/>
        <w:ind w:firstLine="360"/>
      </w:pPr>
      <w:r>
        <w:rPr>
          <w:b/>
        </w:rPr>
        <w:t>1</w:t>
        <w:t xml:space="preserve">.  </w:t>
      </w:r>
      <w:r>
        <w:rPr>
          <w:b/>
        </w:rPr>
        <w:t xml:space="preserve">Receiving agency.</w:t>
        <w:t xml:space="preserve"> </w:t>
      </w:r>
      <w:r>
        <w:t xml:space="preserve"> </w:t>
      </w:r>
      <w:r>
        <w:t xml:space="preserve">"Receiving agency" means any department or agency of the Federal Government or a state or local government which receives an employee of another government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Sending agency.</w:t>
        <w:t xml:space="preserve"> </w:t>
      </w:r>
      <w:r>
        <w:t xml:space="preserve"> </w:t>
      </w:r>
      <w:r>
        <w:t xml:space="preserve">"Sending agency" means any department or agency of the Federal Government or a state or local government which sends any employee thereof to another government agency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