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Whenever the Attorney General believes a person to be or to have been in violation of this chapter, the Attorney General may examine or cause to be examined for that purpose any books, records, papers and memoranda of whatever nature relevant to the alleged violation. The Attorney General may require the attendance of the person or of any other person having knowledge in the premises at any place in the county where the person resides or has a place of business or in Kennebec County if the person is a nonresident or has no place of business within the State, and may take testimony and require proof material for that person's information, and may administer oaths or take acknowledgement in respect of any book, record, paper or memorandum. The Attorney General shall serve notice of the time, place and cause of the examination or attendance at least 10 days prior to the date of the examination.</w:t>
      </w:r>
      <w:r>
        <w:t xml:space="preserve">  </w:t>
      </w:r>
      <w:r xmlns:wp="http://schemas.openxmlformats.org/drawingml/2010/wordprocessingDrawing" xmlns:w15="http://schemas.microsoft.com/office/word/2012/wordml">
        <w:rPr>
          <w:rFonts w:ascii="Arial" w:hAnsi="Arial" w:cs="Arial"/>
          <w:sz w:val="22"/>
          <w:szCs w:val="22"/>
        </w:rPr>
        <w:t xml:space="preserve">[RR 2023, c. 2, Pt. B, §34 (COR).]</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that person does not have a place of business in this State, to the person's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[RR 2023, c. 2, Pt. B,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§35 (COR).]</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the person or the particular class or group to which the person belongs;</w:t>
      </w:r>
      <w:r>
        <w:t xml:space="preserve">  </w:t>
      </w:r>
      <w:r xmlns:wp="http://schemas.openxmlformats.org/drawingml/2010/wordprocessingDrawing" xmlns:w15="http://schemas.microsoft.com/office/word/2012/wordml">
        <w:rPr>
          <w:rFonts w:ascii="Arial" w:hAnsi="Arial" w:cs="Arial"/>
          <w:sz w:val="22"/>
          <w:szCs w:val="22"/>
        </w:rPr>
        <w:t xml:space="preserve">[RR 2023, c. 2, Pt. B, §36 (COR).]</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§36 (COR).]</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RR 2023, c. 2, Pt. B, §§34-36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§211. EXAMINATION;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