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20051</w:t>
        <w:t xml:space="preserve">.  </w:t>
      </w:r>
      <w:r>
        <w:rPr>
          <w:b/>
        </w:rPr>
        <w:t xml:space="preserve">Criminal law limitations</w:t>
      </w:r>
    </w:p>
    <w:p>
      <w:pPr>
        <w:jc w:val="both"/>
        <w:spacing w:before="100" w:after="0"/>
        <w:ind w:start="360"/>
        <w:ind w:firstLine="360"/>
      </w:pPr>
      <w:r>
        <w:rPr>
          <w:b/>
        </w:rPr>
        <w:t>1</w:t>
        <w:t xml:space="preserve">.  </w:t>
      </w:r>
      <w:r>
        <w:rPr>
          <w:b/>
        </w:rPr>
        <w:t xml:space="preserve">Laws.</w:t>
        <w:t xml:space="preserve"> </w:t>
      </w:r>
      <w:r>
        <w:t xml:space="preserve"> </w:t>
      </w:r>
      <w:r>
        <w:t xml:space="preserve">A county, municipality or other political subdivision may not adopt or enforce a local law, ordinance, regulation or rule having the force of law that includes drinking or being found in an intoxicated condition as one of the elements of an offense giving rise to a criminal or civil penalty or sanction.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§40 (AMD).]</w:t>
      </w:r>
    </w:p>
    <w:p>
      <w:pPr>
        <w:jc w:val="both"/>
        <w:spacing w:before="100" w:after="0"/>
        <w:ind w:start="360"/>
        <w:ind w:firstLine="360"/>
      </w:pPr>
      <w:r>
        <w:rPr>
          <w:b/>
        </w:rPr>
        <w:t>2</w:t>
        <w:t xml:space="preserve">.  </w:t>
      </w:r>
      <w:r>
        <w:rPr>
          <w:b/>
        </w:rPr>
        <w:t xml:space="preserve">Interpretation.</w:t>
        <w:t xml:space="preserve"> </w:t>
      </w:r>
      <w:r>
        <w:t xml:space="preserve"> </w:t>
      </w:r>
      <w:r>
        <w:t xml:space="preserve">A county, municipality or other political subdivision may not interpret or apply any law of general application to circumvent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3</w:t>
        <w:t xml:space="preserve">.  </w:t>
      </w:r>
      <w:r>
        <w:rPr>
          <w:b/>
        </w:rPr>
        <w:t xml:space="preserve">Effect.</w:t>
        <w:t xml:space="preserve"> </w:t>
      </w:r>
      <w:r>
        <w:t xml:space="preserve"> </w:t>
      </w:r>
      <w:r>
        <w:t xml:space="preserve">Nothing in this subchapter affects any law, ordinance, regulation or rule against drunken driving, driving under the influence of alcohol or other similar offense involving the operation of a vehicle, snowmobile, aircraft, boat, machinery or other equipment, or regarding the sale, purchase, dispensing, possessing or use of alcoholic beverages at stated times and places or by a particular class of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2009, c. 299, Pt. A, §1 (AMD). PL 2017, c. 407, Pt. A,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§20051. Criminal law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§20051. Criminal law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§20051. CRIMINAL LAW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