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737, Pt. A, §15 (NEW).]</w:t>
      </w:r>
    </w:p>
    <w:p>
      <w:pPr>
        <w:jc w:val="both"/>
        <w:spacing w:before="100" w:after="0"/>
        <w:ind w:start="360"/>
        <w:ind w:firstLine="360"/>
      </w:pPr>
      <w:r>
        <w:rPr>
          <w:b/>
        </w:rPr>
        <w:t>1</w:t>
        <w:t xml:space="preserve">.  </w:t>
      </w:r>
      <w:r>
        <w:rPr>
          <w:b/>
        </w:rPr>
        <w:t xml:space="preserve">Employee of this State.</w:t>
        <w:t xml:space="preserve"> </w:t>
      </w:r>
      <w:r>
        <w:t xml:space="preserve"> </w:t>
      </w:r>
      <w:r>
        <w:t xml:space="preserve">"Employee of this State" means an employee in the classified or unclassified service as defined in </w:t>
      </w:r>
      <w:r>
        <w:t>chapters 71</w:t>
      </w:r>
      <w:r>
        <w:t xml:space="preserve"> and </w:t>
      </w:r>
      <w:r>
        <w:t>372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824, Pt. B, §2 (AMD).]</w:t>
      </w:r>
    </w:p>
    <w:p>
      <w:pPr>
        <w:jc w:val="both"/>
        <w:spacing w:before="100" w:after="0"/>
        <w:ind w:start="360"/>
        <w:ind w:firstLine="360"/>
      </w:pPr>
      <w:r>
        <w:rPr>
          <w:b/>
        </w:rPr>
        <w:t>2</w:t>
        <w:t xml:space="preserve">.  </w:t>
      </w:r>
      <w:r>
        <w:rPr>
          <w:b/>
        </w:rPr>
        <w:t xml:space="preserve">State property.</w:t>
        <w:t xml:space="preserve"> </w:t>
      </w:r>
      <w:r>
        <w:t xml:space="preserve"> </w:t>
      </w:r>
      <w:r>
        <w:t xml:space="preserve">"State property" means personal property, including, but not limited to, furnishings, supplies and equipment that is owned or leased by or in the control of the State or any department or agency of the State or independent state agency.  "State property" includes property purchased with funds, such as fees for conferences and seminars conducted by a state agency, received by or on behalf of the State or any department or agency outside of the normal system of accounts and controls.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737, §A15 (NEW). PL 1991, c. 824, §B2 (AMD). PL 1995, c. 280,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