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18655</w:t>
        <w:t xml:space="preserve">.  </w:t>
      </w:r>
      <w:r>
        <w:rPr>
          <w:b/>
        </w:rPr>
        <w:t xml:space="preserve">Participation</w:t>
      </w:r>
    </w:p>
    <w:p>
      <w:pPr>
        <w:jc w:val="both"/>
        <w:spacing w:before="100" w:after="0"/>
        <w:ind w:start="360"/>
        <w:ind w:firstLine="360"/>
      </w:pPr>
      <w:r>
        <w:rPr>
          <w:b/>
        </w:rPr>
        <w:t>1</w:t>
        <w:t xml:space="preserve">.  </w:t>
      </w:r>
      <w:r>
        <w:rPr>
          <w:b/>
        </w:rPr>
        <w:t xml:space="preserve">Local district.</w:t>
        <w:t xml:space="preserve"> </w:t>
      </w:r>
      <w:r>
        <w:t xml:space="preserve"> </w:t>
      </w:r>
      <w:r>
        <w:t xml:space="preserve">A local district may participate in the group life insurance program by filing with the board a duly certified copy of the resolution or record of the vote of the body that would be entitled to approve participation in the Participating Local District Retirement Program under </w:t>
      </w:r>
      <w:r>
        <w:t>section 18201</w:t>
      </w:r>
      <w:r>
        <w:t xml:space="preserve">. The resolution or record of the vote must state which portions of the life insurance program established under this chapter apply to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§249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effective date of participation of a local district may not be more than 6 months following receipt of the certified copy of the vote or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Employee.</w:t>
        <w:t xml:space="preserve"> </w:t>
      </w:r>
      <w:r>
        <w:t xml:space="preserve"> </w:t>
      </w:r>
      <w:r>
        <w:t xml:space="preserve">The board may, by rule, provide standards for inclusion or exclusion of employees on the basis of nature and type of employment or conditions. No employee or group of employees may be excluded solely on the basis of the hazardous nature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§18655.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§18655.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§18655.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