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17651</w:t>
        <w:t xml:space="preserve">.  </w:t>
      </w:r>
      <w:r>
        <w:rPr>
          <w:b/>
        </w:rPr>
        <w:t xml:space="preserve">Mandatory membership</w:t>
      </w:r>
    </w:p>
    <w:p>
      <w:pPr>
        <w:jc w:val="both"/>
        <w:spacing w:before="100" w:after="100"/>
        <w:ind w:start="360"/>
        <w:ind w:firstLine="360"/>
      </w:pPr>
      <w:r>
        <w:rPr/>
      </w:r>
      <w:r>
        <w:rPr/>
      </w:r>
      <w:r>
        <w:t xml:space="preserve">All state employees and teachers become members of the State Employee and Teacher Retirement Program as a condition of their employment.</w:t>
      </w:r>
      <w:r>
        <w:t xml:space="preserve">  </w:t>
      </w:r>
      <w:r xmlns:wp="http://schemas.openxmlformats.org/drawingml/2010/wordprocessingDrawing" xmlns:w15="http://schemas.microsoft.com/office/word/2012/wordml">
        <w:rPr>
          <w:rFonts w:ascii="Arial" w:hAnsi="Arial" w:cs="Arial"/>
          <w:sz w:val="22"/>
          <w:szCs w:val="22"/>
        </w:rPr>
        <w:t xml:space="preserve">[PL 2007, c. 491,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§94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§17651. Mandatory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§17651. Mandatory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§17651. MANDATORY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