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17105-A</w:t>
        <w:t xml:space="preserve">.  </w:t>
      </w:r>
      <w:r>
        <w:rPr>
          <w:b/>
        </w:rPr>
        <w:t xml:space="preserve">Adverse decisions of the retirement system</w:t>
      </w:r>
    </w:p>
    <w:p>
      <w:pPr>
        <w:jc w:val="both"/>
        <w:spacing w:before="100" w:after="100"/>
        <w:ind w:start="360"/>
        <w:ind w:firstLine="360"/>
      </w:pPr>
      <w:r>
        <w:rPr/>
      </w:r>
      <w:r>
        <w:rPr/>
      </w:r>
      <w:r>
        <w:t xml:space="preserve">Prior to any adverse decision rendered by retirement system staff with respect to the recoupment, suspension or termination of benefits, or assessment of penalties or interest, the affected member or retiree is entitled to an informal hearing to which the member or retiree may bring legal counsel. The retirement system shall issue a written decision; this decision is subject to the retirement system’s review and appeal process pursuant to </w:t>
      </w:r>
      <w:r>
        <w:t>section 17451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322,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§17105-A. Adverse decisions of the retirement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§17105-A. Adverse decisions of the retirement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§17105-A. ADVERSE DECISIONS OF THE RETIREMENT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