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1710-B</w:t>
        <w:t xml:space="preserve">.  </w:t>
      </w:r>
      <w:r>
        <w:rPr>
          <w:b/>
        </w:rPr>
        <w:t xml:space="preserve">Contracts</w:t>
      </w:r>
    </w:p>
    <w:p>
      <w:pPr>
        <w:jc w:val="both"/>
        <w:spacing w:before="100" w:after="100"/>
        <w:ind w:start="360"/>
        <w:ind w:firstLine="360"/>
      </w:pPr>
      <w:r>
        <w:rPr/>
      </w:r>
      <w:r>
        <w:rPr/>
      </w:r>
      <w:r>
        <w:t xml:space="preserve">The commission may enter into contractual arrangements subject to state purchasing procedures for the procurement of economic forecasting models, data, assumptions and assistance in analyzing the data.</w:t>
      </w:r>
      <w:r>
        <w:t xml:space="preserve">  </w:t>
      </w:r>
      <w:r xmlns:wp="http://schemas.openxmlformats.org/drawingml/2010/wordprocessingDrawing" xmlns:w15="http://schemas.microsoft.com/office/word/2012/wordml">
        <w:rPr>
          <w:rFonts w:ascii="Arial" w:hAnsi="Arial" w:cs="Arial"/>
          <w:sz w:val="22"/>
          <w:szCs w:val="22"/>
        </w:rPr>
        <w:t xml:space="preserve">[PL 1995, c. 368, Pt. J,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§J1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§1710-B.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§1710-B.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§1710-B.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