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§17059. Qualified domestic relations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§17059. QUALIFIED DOMESTIC RELATIONS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