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Allocation bills</w:t>
      </w:r>
    </w:p>
    <w:p>
      <w:pPr>
        <w:jc w:val="both"/>
        <w:spacing w:before="100" w:after="100"/>
        <w:ind w:start="360"/>
        <w:ind w:firstLine="360"/>
      </w:pPr>
      <w:r>
        <w:rPr/>
      </w:r>
      <w:r>
        <w:rPr/>
      </w:r>
      <w:r>
        <w:t xml:space="preserve">All allocation bills shall be submitted in the same manner as required for the General Fund in </w:t>
      </w:r>
      <w:r>
        <w:t>section 1581</w:t>
      </w:r>
      <w:r>
        <w:t xml:space="preserve"> and shall be subject to the transfer provisions of </w:t>
      </w:r>
      <w:r>
        <w:t>section 1585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824, Pt. 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§N2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§1673. Allocation bills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Allocation bills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§1673. ALLOCATION BILLS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