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w:t>
        <w:t xml:space="preserve">.  </w:t>
      </w:r>
      <w:r>
        <w:rPr>
          <w:b/>
        </w:rPr>
        <w:t xml:space="preserve">Definition</w:t>
      </w:r>
    </w:p>
    <w:p>
      <w:pPr>
        <w:jc w:val="both"/>
        <w:spacing w:before="100" w:after="100"/>
        <w:ind w:start="360"/>
        <w:ind w:firstLine="360"/>
      </w:pPr>
      <w:r>
        <w:rPr/>
      </w:r>
      <w:r>
        <w:rPr/>
      </w:r>
      <w:r>
        <w:t xml:space="preserve">The words "Governor-elect," whenever used in this chapter and </w:t>
      </w:r>
      <w:r>
        <w:t>chapter 145</w:t>
      </w:r>
      <w:r>
        <w:t xml:space="preserve">, shall be held to mean the candidate most recently elected to the office of Governor of the State of Maine in the November election for choice of Governor, or his successor.</w:t>
      </w:r>
      <w:r>
        <w:t xml:space="preserve">  </w:t>
      </w:r>
      <w:r xmlns:wp="http://schemas.openxmlformats.org/drawingml/2010/wordprocessingDrawing" xmlns:w15="http://schemas.microsoft.com/office/word/2012/wordml">
        <w:rPr>
          <w:rFonts w:ascii="Arial" w:hAnsi="Arial" w:cs="Arial"/>
          <w:sz w:val="22"/>
          <w:szCs w:val="22"/>
        </w:rPr>
        <w:t xml:space="preserve">[PL 1987, c. 402, Pt. A, §39 (AMD).]</w:t>
      </w:r>
    </w:p>
    <w:p>
      <w:pPr>
        <w:jc w:val="both"/>
        <w:spacing w:before="100" w:after="100"/>
        <w:ind w:start="360"/>
        <w:ind w:firstLine="360"/>
      </w:pPr>
      <w:r>
        <w:rPr/>
      </w:r>
      <w:r>
        <w:rPr/>
      </w:r>
      <w:r>
        <w:t xml:space="preserve">The words "Fund for a Healthy Maine," whenever used in this chapter, mean the Other Special Revenue account within the Department of Administrative and Financial Services established pursuant to </w:t>
      </w:r>
      <w:r>
        <w:t>Title 22, section 1511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§A39 (AMD). PL 2001, c. 559, §AA1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§1661.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