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Rules</w:t>
      </w:r>
    </w:p>
    <w:p>
      <w:pPr>
        <w:jc w:val="both"/>
        <w:spacing w:before="100" w:after="100"/>
        <w:ind w:start="360"/>
        <w:ind w:firstLine="360"/>
      </w:pPr>
      <w:r>
        <w:rPr/>
      </w:r>
      <w:r>
        <w:rPr/>
      </w:r>
      <w:r>
        <w:t xml:space="preserve">The Treasurer of State may adopt and amend rules necessary to carry out this chapter.  These rules shall be adopted and amended pursuant to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