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§1521. APPLICATION TO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