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w:t>
        <w:t xml:space="preserve">.  </w:t>
      </w:r>
      <w:r>
        <w:rPr>
          <w:b/>
        </w:rPr>
        <w:t xml:space="preserve">Disposal of money and securities</w:t>
      </w:r>
    </w:p>
    <w:p>
      <w:pPr>
        <w:jc w:val="both"/>
        <w:spacing w:before="100" w:after="100"/>
        <w:ind w:start="360"/>
        <w:ind w:firstLine="360"/>
      </w:pPr>
      <w:r>
        <w:rPr/>
      </w:r>
      <w:r>
        <w:rPr/>
      </w:r>
      <w:r>
        <w:t xml:space="preserve">The Treasurer of State, with the approval of the Commissioner of Administrative and Financial Services, the Superintendent of Financial Institutions and the Commissioner of Education, shall invest and reinvest the principal of all funds derived or that may be derived from the sale and lease of lands reserved for public uses in accordance with the laws of the State governing the investment of funds of savings banks, as enumerated in </w:t>
      </w:r>
      <w:r>
        <w:t>Title 9‑B</w:t>
      </w:r>
      <w:r>
        <w:t xml:space="preserve">, except as provided in </w:t>
      </w:r>
      <w:r>
        <w:t>chapter 161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780, Pt. Y, §11 (AMD); PL 2001, c. 44, §11 (AMD); PL 2001, c. 44, §14 (AFF).]</w:t>
      </w:r>
    </w:p>
    <w:p>
      <w:pPr>
        <w:jc w:val="both"/>
        <w:spacing w:before="100" w:after="100"/>
        <w:ind w:start="360"/>
        <w:ind w:firstLine="360"/>
      </w:pPr>
      <w:r>
        <w:rPr/>
      </w:r>
      <w:r>
        <w:rPr/>
      </w:r>
      <w:r>
        <w:t xml:space="preserve">The Treasurer of State, with the approval of the Commissioner of Administrative and Financial Services, the Superintendent of Financial Institutions and the Commissioner of Education, has the power to enter into a contract or agreement approved by the Governor with any national bank, trust company or safe deposit company located in New England or New York City for custodial care and servicing of the securities belonging to any trust fund created from funds derived or that may be derived from the sale and lease of lands reserved for public uses. Such services must consist of the safekeeping of those securities, collection of interest and dividends, periodical checks of the portfolio deposited for safekeeping to determine all calls for redemption, in whole or in part, of any bonds owned by such funds, and any other fiscal service that is normally covered in a custodial contract or agreement. In performing services under any such contract or agreement, the contracting bank has all of the powers and duties prescribed for trust companies by </w:t>
      </w:r>
      <w:r>
        <w:t>Title 9‑B, section 473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L, §2 (AMD); PL 2001, c. 44, §11 (AMD); PL 2001, c. 44, §14 (AFF).]</w:t>
      </w:r>
    </w:p>
    <w:p>
      <w:pPr>
        <w:jc w:val="both"/>
        <w:spacing w:before="100" w:after="100"/>
        <w:ind w:start="360"/>
        <w:ind w:firstLine="360"/>
      </w:pPr>
      <w:r>
        <w:rPr/>
      </w:r>
      <w:r>
        <w:rPr/>
      </w:r>
      <w:r>
        <w:t xml:space="preserve">The Treasurer of State is empowered to arrange for the payment for such services, either by cash payments to be charged pro rata to the income of such trust funds, or by an agreement for a compensating deposit balance with the bank in question, in lieu of such cash payment, or by some combination of both methods of payment. The contracting bank shall give assurance of proper safeguards that are usual to such contracts and shall furnish insurance protection satisfactory to both parties.</w:t>
      </w:r>
      <w:r>
        <w:t xml:space="preserve">  </w:t>
      </w:r>
      <w:r xmlns:wp="http://schemas.openxmlformats.org/drawingml/2010/wordprocessingDrawing" xmlns:w15="http://schemas.microsoft.com/office/word/2012/wordml">
        <w:rPr>
          <w:rFonts w:ascii="Arial" w:hAnsi="Arial" w:cs="Arial"/>
          <w:sz w:val="22"/>
          <w:szCs w:val="22"/>
        </w:rPr>
        <w:t xml:space="preserve">[PL 1991, c. 780, Pt. Y, §11 (AMD).]</w:t>
      </w:r>
    </w:p>
    <w:p>
      <w:pPr>
        <w:jc w:val="both"/>
        <w:spacing w:before="100" w:after="100"/>
        <w:ind w:start="360"/>
        <w:ind w:firstLine="360"/>
      </w:pPr>
      <w:r>
        <w:rPr/>
      </w:r>
      <w:r>
        <w:rPr/>
      </w:r>
      <w:r>
        <w:t xml:space="preserve">The Treasurer of State is empowered to withdraw or deposit securities from or with the custodian as circumstances may require, all withdrawal orders or delivery instructions to bear the approval in writing of the Superintendent of Financial Institutions and that of either or both the Commissioner of Education and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§11 (AMD);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181, §§4-6 (AMD). PL 1973, c. 571, §1 (AMD). PL 1973, c. 585, §§11,14 (AMD). PL 1973, c. 733, §§3,4 (AMD). PL 1975, c. 771, §42 (AMD). PL 1977, c. 78, §§8,72 (AMD). PL 1979, c. 127, §21 (AMD). PL 1985, c. 785, §§A10-12 (AMD). PL 1987, c. 247, §3 (AMD). PL 1989, c. 700, §§A11-13 (AMD). PL 1991, c. 780, §Y11 (AMD). PL 1997, c. 398, §L2 (AMD). PL 2001, c. 44, §11 (AMD). PL 2001, c. 44,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§139. Disposal of money and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 Disposal of money and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§139. DISPOSAL OF MONEY AND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