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13090-I</w:t>
        <w:t xml:space="preserve">.  </w:t>
      </w:r>
      <w:r>
        <w:rPr>
          <w:b/>
        </w:rPr>
        <w:t xml:space="preserve">Maine State Film Office</w:t>
      </w:r>
    </w:p>
    <w:p>
      <w:pPr>
        <w:jc w:val="both"/>
        <w:spacing w:before="100" w:after="100"/>
        <w:ind w:start="360"/>
      </w:pPr>
      <w:r>
        <w:rPr>
          <w:b/>
        </w:rPr>
        <w:t>(REALLOCATED FROM TITLE 5, SECTION 13080-U)</w:t>
      </w:r>
    </w:p>
    <w:p>
      <w:pPr>
        <w:jc w:val="both"/>
        <w:spacing w:before="100" w:after="100"/>
        <w:ind w:start="360"/>
        <w:ind w:firstLine="360"/>
      </w:pPr>
      <w:r>
        <w:rPr/>
      </w:r>
      <w:r>
        <w:rPr/>
      </w:r>
      <w:r>
        <w:t xml:space="preserve">The Maine State Film Office is established within the Office of Tourism.  The Director of the Maine State Film Office is responsible for undertaking a program of film promotion and implementing the recommendations and policies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198,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§13090-I. Maine State Film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§13090-I. Maine State Film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§13090-I. MAINE STATE FILM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