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13083-N</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authority may issue bonds to finance its activities only after giving notice of the proposed issuance and its terms at least twice in a newspaper of general circulation in the appropriate counties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2</w:t>
        <w:t xml:space="preserve">.  </w:t>
      </w:r>
      <w:r>
        <w:rPr>
          <w:b/>
        </w:rPr>
        <w:t xml:space="preserve">Authority.</w:t>
        <w:t xml:space="preserve"> </w:t>
      </w:r>
      <w:r>
        <w:t xml:space="preserve"> </w:t>
      </w:r>
      <w:r>
        <w:t xml:space="preserve">The authority may issue bonds from time to time in its discretion to finance the undertaking of an authorized activity under this article, including but not limited to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and interest of bonds must be made payable solely from the income, proceeds, revenues and funds of the authority derived from or held for activities under this article.  Payment of the principal and interest of bonds may be further secured by a pledge of a loan, grant or contribution from the Federal Government or other source in aid of activities of the authority under this article and by a mortgage of an urban activity or a project or part of a project, title to which is in the authority.</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Bonds issued under this section do not constitute an indebtedness within the meaning of any constitutional or statutory debt limitation or restriction and are not subject to other laws or charters relating to the authorization, issuance or sale of bonds. Bonds issued under this article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Bonds may not be issued by the authority until the authority has received a certificate of approval from the Finance Authority of Maine authorizing issuance of the bonds. Before issuing a certificate of approval under this section, the Finance Authority of Maine must determine that there is a reasonable likelihood that the income, proceeds, revenues and funds of the authority derived from or held for activities under this article or otherwise pledged to payment of the bonds will be sufficient to pay the principal, the interest and all other amounts that may at any time become due and payable under the bonds.  In making this determination, the Finance Authority of Maine shall consider the authority's analysis of the proposed bond issue and the revenues to make payments on the bonds and may require such information, projections, studies and independent analyses as it considers necessary or desirable and may charge the authority reasonable fees and expenses.  The issuance by the  Finance Authority of Maine of a certificate of approval under this section does not constitute an endorsement of the bonds or the projects or purposes for which those bonds are issued and neither the authority nor any other person or entity, including, without limitation, any holders of bonds of the authority, have any cause of action against the Finance Authority of Maine with respect to any such certificate of approval.  The Finance Authority of Maine may require that it be indemnified, defended and held harmless by the authority for any liability or cause of action arising out of or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I</w:t>
        <w:t xml:space="preserve">.  </w:t>
      </w:r>
      <w:r>
        <w:rPr/>
      </w:r>
      <w:r>
        <w:t xml:space="preserve">The medium and place or places of payment;</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K</w:t>
        <w:t xml:space="preserve">.  </w:t>
      </w:r>
      <w:r>
        <w:rPr/>
      </w:r>
      <w:r>
        <w:t xml:space="preserve">The manner secured; and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641, §4 (RP).]</w:t>
      </w:r>
    </w:p>
    <w:p>
      <w:pPr>
        <w:jc w:val="both"/>
        <w:spacing w:before="100" w:after="0"/>
        <w:ind w:start="720"/>
      </w:pPr>
      <w:r>
        <w:rPr/>
        <w:t>B</w:t>
        <w:t xml:space="preserve">.  </w:t>
      </w:r>
      <w:r>
        <w:rPr/>
      </w:r>
      <w:r>
        <w:t xml:space="preserve">Exchanged for other bonds on the basis of par;</w:t>
      </w:r>
      <w:r>
        <w:t xml:space="preserve">  </w:t>
      </w:r>
      <w:r xmlns:wp="http://schemas.openxmlformats.org/drawingml/2010/wordprocessingDrawing" xmlns:w15="http://schemas.microsoft.com/office/word/2012/wordml">
        <w:rPr>
          <w:rFonts w:ascii="Arial" w:hAnsi="Arial" w:cs="Arial"/>
          <w:sz w:val="22"/>
          <w:szCs w:val="22"/>
        </w:rPr>
        <w:t xml:space="preserve">[PL 2009, c. 641, §4 (AMD).]</w:t>
      </w:r>
    </w:p>
    <w:p>
      <w:pPr>
        <w:jc w:val="both"/>
        <w:spacing w:before="100" w:after="0"/>
        <w:ind w:start="720"/>
      </w:pPr>
      <w:r>
        <w:rPr/>
        <w:t>C</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municipality that does not exceed the interest cost to the municipality of the portion of the bonds sold to the Federal Government; or</w:t>
      </w:r>
      <w:r>
        <w:t xml:space="preserve">  </w:t>
      </w:r>
      <w:r xmlns:wp="http://schemas.openxmlformats.org/drawingml/2010/wordprocessingDrawing" xmlns:w15="http://schemas.microsoft.com/office/word/2012/wordml">
        <w:rPr>
          <w:rFonts w:ascii="Arial" w:hAnsi="Arial" w:cs="Arial"/>
          <w:sz w:val="22"/>
          <w:szCs w:val="22"/>
        </w:rPr>
        <w:t xml:space="preserve">[PL 2009, c. 641, §4 (AMD).]</w:t>
      </w:r>
    </w:p>
    <w:p>
      <w:pPr>
        <w:jc w:val="both"/>
        <w:spacing w:before="100" w:after="0"/>
        <w:ind w:start="720"/>
      </w:pPr>
      <w:r>
        <w:rPr/>
        <w:t>D</w:t>
        <w:t xml:space="preserve">.  </w:t>
      </w:r>
      <w:r>
        <w:rPr/>
      </w:r>
      <w:r>
        <w:t xml:space="preserve">Sold to a person on such terms as the authority may negotiate.</w:t>
      </w:r>
      <w:r>
        <w:t xml:space="preserve">  </w:t>
      </w:r>
      <w:r xmlns:wp="http://schemas.openxmlformats.org/drawingml/2010/wordprocessingDrawing" xmlns:w15="http://schemas.microsoft.com/office/word/2012/wordml">
        <w:rPr>
          <w:rFonts w:ascii="Arial" w:hAnsi="Arial" w:cs="Arial"/>
          <w:sz w:val="22"/>
          <w:szCs w:val="22"/>
        </w:rPr>
        <w:t xml:space="preserve">[PL 2009, c. 641,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641, §4 (AMD).]</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authority whose signature appears on a bond or coupon issued under this article ceases to be an official before the bond is delivered, the signature is nevertheless valid for all purposes as if the official had remained in office until the delivery.  Notwithstanding contrary provisions of law, bonds issued under this article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article or the security for that bond, a bond reciting in substance that it has been issued by the authority in connection with an activity is conclusively deemed to have been issued for that purpose and the activity is conclusively deemed to have been planned, located and carried out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7</w:t>
        <w:t xml:space="preserve">.  </w:t>
      </w:r>
      <w:r>
        <w:rPr>
          <w:b/>
        </w:rPr>
        <w:t xml:space="preserve">No personal liability; not debt of State or municipality.</w:t>
        <w:t xml:space="preserve"> </w:t>
      </w:r>
      <w:r>
        <w:t xml:space="preserve"> </w:t>
      </w:r>
      <w:r>
        <w:t xml:space="preserve">Neither the trustees of the authority nor the person executing the bonds is liable personally on the bonds by reason of the issuance of the bonds.  The bonds and other obligations of the authority must have stated on their face that they are not a debt of the State and that the State is not liable on the bonds.  The bonds or obligations may not be payable out of funds or properties other than those of the authority acquired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authority under this article.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authority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 and</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w:t>
      </w:r>
      <w:r>
        <w:t xml:space="preserve">  </w:t>
      </w:r>
      <w:r xmlns:wp="http://schemas.openxmlformats.org/drawingml/2010/wordprocessingDrawing" xmlns:w15="http://schemas.microsoft.com/office/word/2012/wordml">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599, §1 (NEW). PL 2009, c. 641,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§13083-N.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§13083-N.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§13083-N.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