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12004-B</w:t>
        <w:t xml:space="preserve">.  </w:t>
      </w:r>
      <w:r>
        <w:rPr>
          <w:b/>
        </w:rPr>
        <w:t xml:space="preserve">Arbitration, mediation, valuation and board appeals</w:t>
      </w:r>
    </w:p>
    <w:p>
      <w:pPr>
        <w:jc w:val="both"/>
        <w:spacing w:before="100" w:after="100"/>
        <w:ind w:start="360"/>
        <w:ind w:firstLine="360"/>
      </w:pPr>
      <w:r>
        <w:rPr/>
      </w:r>
      <w:r>
        <w:rPr/>
      </w:r>
      <w:r>
        <w:t xml:space="preserve">The primary responsibilities of the boards in this section include the assessment of property for purchase, valuation or tax purposes; the hearing of appeals with respect to property valuation or assessment; and the arbitration, conciliation or mediation of disputes or grievances.</w:t>
      </w:r>
      <w:r>
        <w:t xml:space="preserve">  </w:t>
      </w:r>
      <w:r xmlns:wp="http://schemas.openxmlformats.org/drawingml/2010/wordprocessingDrawing" xmlns:w15="http://schemas.microsoft.com/office/word/2012/wordml">
        <w:rPr>
          <w:rFonts w:ascii="Arial" w:hAnsi="Arial" w:cs="Arial"/>
          <w:sz w:val="22"/>
          <w:szCs w:val="22"/>
        </w:rPr>
        <w:t xml:space="preserve">[PL 1987, c. 786, §5 (NEW).]</w:t>
      </w:r>
    </w:p>
    <w:p>
      <w:pPr>
        <w:jc w:val="both"/>
        <w:spacing w:before="100" w:after="100"/>
        <w:ind w:start="360"/>
        <w:ind w:firstLine="360"/>
      </w:pPr>
      <w:r>
        <w:rPr/>
      </w:r>
      <w:r>
        <w:rPr/>
      </w:r>
      <w:r>
        <w:t xml:space="preserve">The primary powers of these boards include the holding of hearings; the adoption of rules; the determination, modification or assessment of fees, taxes and penalties; arbitration, conciliation and mediation; the establishment of standards and procedures; and the adjudication of disputes.</w:t>
      </w:r>
      <w:r>
        <w:t xml:space="preserve">  </w:t>
      </w:r>
      <w:r xmlns:wp="http://schemas.openxmlformats.org/drawingml/2010/wordprocessingDrawing" xmlns:w15="http://schemas.microsoft.com/office/word/2012/wordml">
        <w:rPr>
          <w:rFonts w:ascii="Arial" w:hAnsi="Arial" w:cs="Arial"/>
          <w:sz w:val="22"/>
          <w:szCs w:val="22"/>
        </w:rPr>
        <w:t xml:space="preserve">[PL 1987, c. 786, §5 (NEW).]</w:t>
      </w:r>
    </w:p>
    <w:p>
      <w:pPr>
        <w:jc w:val="both"/>
        <w:spacing w:before="100" w:after="100"/>
        <w:ind w:start="360"/>
        <w:ind w:firstLine="360"/>
      </w:pPr>
      <w:r>
        <w:rPr/>
      </w:r>
      <w:r>
        <w:rPr/>
      </w:r>
      <w:r>
        <w:t xml:space="preserve">This classification includes the following.</w:t>
      </w:r>
      <w:r>
        <w:t xml:space="preserve">  </w:t>
      </w:r>
      <w:r xmlns:wp="http://schemas.openxmlformats.org/drawingml/2010/wordprocessingDrawing" xmlns:w15="http://schemas.microsoft.com/office/word/2012/wordml">
        <w:rPr>
          <w:rFonts w:ascii="Arial" w:hAnsi="Arial" w:cs="Arial"/>
          <w:sz w:val="22"/>
          <w:szCs w:val="22"/>
        </w:rPr>
        <w:t xml:space="preserve">[PL 1987, c. 786, §5 (NEW).]</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center"/>
            </w:pPr>
            <w:r>
              <w:t xml:space="preserve">NAME OF ORGANIZATION</w:t>
            </w:r>
          </w:p>
        </w:tc>
        <w:tc>
          <w:tcPr>
            <w:tcW w:w="2434" w:type="dxa"/>
          </w:tcPr>
          <w:p>
            <w:pPr>
              <w:jc w:val="center"/>
            </w:pPr>
            <w:r>
              <w:t xml:space="preserve">RATE OF COMPENSATION</w:t>
            </w:r>
          </w:p>
        </w:tc>
        <w:tc>
          <w:tcPr>
            <w:tcW w:w="2074" w:type="dxa"/>
          </w:tcPr>
          <w:p>
            <w:pPr>
              <w:jc w:val="center"/>
            </w:pPr>
            <w:r>
              <w:t xml:space="preserve">STATUTORY REFERENCE</w:t>
            </w:r>
          </w:p>
        </w:tc>
      </w:tr>
    </w:tbl>
    <w:p>
      <w:pPr>
        <w:jc w:val="both"/>
        <w:spacing w:before="100" w:after="0"/>
        <w:ind w:start="360"/>
        <w:ind w:firstLine="360"/>
      </w:pPr>
      <w:r>
        <w:rPr>
          <w:b/>
        </w:rPr>
        <w:t>1</w:t>
        <w:t xml:space="preserve">.  </w:t>
      </w:r>
      <w:r>
        <w:rPr>
          <w:b/>
        </w:rPr>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left"/>
            </w:pPr>
            <w:r>
              <w:t xml:space="preserve">State Board of Arbitration and Conciliation</w:t>
            </w:r>
          </w:p>
        </w:tc>
        <w:tc>
          <w:tcPr>
            <w:tcW w:w="2434" w:type="dxa"/>
          </w:tcPr>
          <w:p>
            <w:pPr>
              <w:jc w:val="left"/>
            </w:pPr>
            <w:r>
              <w:t xml:space="preserve">$75/Day</w:t>
            </w:r>
          </w:p>
        </w:tc>
        <w:tc>
          <w:tcPr>
            <w:tcW w:w="2074" w:type="dxa"/>
          </w:tcPr>
          <w:p>
            <w:pPr>
              <w:jc w:val="right"/>
            </w:pPr>
            <w:r>
              <w:t>26 MRSA §931</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§5 (NEW).]</w:t>
      </w:r>
    </w:p>
    <w:p>
      <w:pPr>
        <w:jc w:val="both"/>
        <w:spacing w:before="100" w:after="0"/>
        <w:ind w:start="360"/>
        <w:ind w:firstLine="360"/>
      </w:pPr>
      <w:r>
        <w:rPr>
          <w:b/>
        </w:rPr>
        <w:t>2</w:t>
        <w:t xml:space="preserve">.  </w:t>
      </w:r>
      <w:r>
        <w:rPr>
          <w:b/>
        </w:rPr>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left"/>
            </w:pPr>
            <w:r>
              <w:t xml:space="preserve">Maine Labor Relations Board</w:t>
            </w:r>
          </w:p>
        </w:tc>
        <w:tc>
          <w:tcPr>
            <w:tcW w:w="2434" w:type="dxa"/>
          </w:tcPr>
          <w:p>
            <w:pPr>
              <w:jc w:val="left"/>
            </w:pPr>
            <w:r>
              <w:t xml:space="preserve">$75/Day $100/Day Chair</w:t>
            </w:r>
          </w:p>
        </w:tc>
        <w:tc>
          <w:tcPr>
            <w:tcW w:w="2074" w:type="dxa"/>
          </w:tcPr>
          <w:p>
            <w:pPr>
              <w:jc w:val="right"/>
            </w:pPr>
            <w:r>
              <w:t>26 MRSA §968</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503, Pt. A, §7 (AMD).]</w:t>
      </w:r>
    </w:p>
    <w:p>
      <w:pPr>
        <w:jc w:val="both"/>
        <w:spacing w:before="100" w:after="0"/>
        <w:ind w:start="360"/>
        <w:ind w:firstLine="360"/>
      </w:pPr>
      <w:r>
        <w:rPr>
          <w:b/>
        </w:rPr>
        <w:t>3</w:t>
        <w:t xml:space="preserve">.  </w:t>
      </w:r>
      <w:r>
        <w:rPr>
          <w:b/>
        </w:rPr>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left"/>
            </w:pPr>
            <w:r>
              <w:t xml:space="preserve">Panel of Mediators</w:t>
            </w:r>
          </w:p>
        </w:tc>
        <w:tc>
          <w:tcPr>
            <w:tcW w:w="2434" w:type="dxa"/>
          </w:tcPr>
          <w:p>
            <w:pPr>
              <w:jc w:val="left"/>
            </w:pPr>
            <w:r>
              <w:t xml:space="preserve"> $300/Period up to 4 Hours</w:t>
            </w:r>
          </w:p>
        </w:tc>
        <w:tc>
          <w:tcPr>
            <w:tcW w:w="2074" w:type="dxa"/>
          </w:tcPr>
          <w:p>
            <w:pPr>
              <w:jc w:val="right"/>
            </w:pPr>
            <w:r>
              <w:t>26 MRSA §892</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501, §3 (AMD).]</w:t>
      </w:r>
    </w:p>
    <w:p>
      <w:pPr>
        <w:jc w:val="both"/>
        <w:spacing w:before="100" w:after="0"/>
        <w:ind w:start="360"/>
        <w:ind w:firstLine="360"/>
      </w:pPr>
      <w:r>
        <w:rPr>
          <w:b/>
        </w:rPr>
        <w:t>4</w:t>
        <w:t xml:space="preserve">.  </w:t>
      </w:r>
      <w:r>
        <w:rPr>
          <w:b/>
        </w:rPr>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left"/>
            </w:pPr>
            <w:r>
              <w:t xml:space="preserve">State Civil Service Appeals Board</w:t>
            </w:r>
          </w:p>
        </w:tc>
        <w:tc>
          <w:tcPr>
            <w:tcW w:w="2434" w:type="dxa"/>
          </w:tcPr>
          <w:p>
            <w:pPr>
              <w:jc w:val="left"/>
            </w:pPr>
            <w:r>
              <w:t xml:space="preserve">$50/Day</w:t>
            </w:r>
          </w:p>
        </w:tc>
        <w:tc>
          <w:tcPr>
            <w:tcW w:w="2074" w:type="dxa"/>
          </w:tcPr>
          <w:p>
            <w:pPr>
              <w:jc w:val="right"/>
            </w:pPr>
            <w:r>
              <w:t>5 MRSA §7081</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§5 (NEW).]</w:t>
      </w:r>
    </w:p>
    <w:p>
      <w:pPr>
        <w:jc w:val="both"/>
        <w:spacing w:before="100" w:after="0"/>
        <w:ind w:start="360"/>
        <w:ind w:firstLine="360"/>
      </w:pPr>
      <w:r>
        <w:rPr>
          <w:b/>
        </w:rPr>
        <w:t>5</w:t>
        <w:t xml:space="preserve">.  </w:t>
      </w:r>
      <w:r>
        <w:rPr>
          <w:b/>
        </w:rPr>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left"/>
            </w:pPr>
            <w:r>
              <w:t xml:space="preserve">State Claims Commission</w:t>
            </w:r>
          </w:p>
        </w:tc>
        <w:tc>
          <w:tcPr>
            <w:tcW w:w="2434" w:type="dxa"/>
          </w:tcPr>
          <w:p>
            <w:pPr>
              <w:jc w:val="left"/>
            </w:pPr>
            <w:r>
              <w:t xml:space="preserve">$150/Day</w:t>
            </w:r>
          </w:p>
        </w:tc>
        <w:tc>
          <w:tcPr>
            <w:tcW w:w="2074" w:type="dxa"/>
          </w:tcPr>
          <w:p>
            <w:pPr>
              <w:jc w:val="right"/>
            </w:pPr>
            <w:r>
              <w:t>23 MRSA §152</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438, §1 (AMD).]</w:t>
      </w:r>
    </w:p>
    <w:p>
      <w:pPr>
        <w:jc w:val="both"/>
        <w:spacing w:before="100" w:after="0"/>
        <w:ind w:start="360"/>
        <w:ind w:firstLine="360"/>
      </w:pPr>
      <w:r>
        <w:rPr>
          <w:b/>
        </w:rPr>
        <w:t>6</w:t>
        <w:t xml:space="preserve">.  </w:t>
      </w:r>
      <w:r>
        <w:rPr>
          <w:b/>
        </w:rPr>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left"/>
            </w:pPr>
            <w:r>
              <w:t xml:space="preserve">State Board of Property Tax Review</w:t>
            </w:r>
          </w:p>
        </w:tc>
        <w:tc>
          <w:tcPr>
            <w:tcW w:w="2434" w:type="dxa"/>
          </w:tcPr>
          <w:p>
            <w:pPr>
              <w:jc w:val="left"/>
            </w:pPr>
            <w:r>
              <w:t xml:space="preserve">$75/Day</w:t>
            </w:r>
          </w:p>
        </w:tc>
        <w:tc>
          <w:tcPr>
            <w:tcW w:w="2074" w:type="dxa"/>
          </w:tcPr>
          <w:p>
            <w:pPr>
              <w:jc w:val="right"/>
            </w:pPr>
            <w:r>
              <w:t>36 MRSA §271</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E, §4 (AMD).]</w:t>
      </w:r>
    </w:p>
    <w:p>
      <w:pPr>
        <w:jc w:val="both"/>
        <w:spacing w:before="100" w:after="0"/>
        <w:ind w:start="360"/>
        <w:ind w:firstLine="360"/>
      </w:pPr>
      <w:r>
        <w:rPr>
          <w:b/>
        </w:rPr>
        <w:t>7</w:t>
        <w:t xml:space="preserve">.  </w:t>
      </w:r>
      <w:r>
        <w:rPr>
          <w:b/>
        </w:rPr>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left"/>
            </w:pPr>
            <w:r>
              <w:t xml:space="preserve">Maine Agricultural Bargaining Board</w:t>
            </w:r>
          </w:p>
        </w:tc>
        <w:tc>
          <w:tcPr>
            <w:tcW w:w="2434" w:type="dxa"/>
          </w:tcPr>
          <w:p>
            <w:pPr>
              <w:jc w:val="left"/>
            </w:pPr>
            <w:r>
              <w:t xml:space="preserve">$75/Day</w:t>
            </w:r>
          </w:p>
        </w:tc>
        <w:tc>
          <w:tcPr>
            <w:tcW w:w="2074" w:type="dxa"/>
          </w:tcPr>
          <w:p>
            <w:pPr>
              <w:jc w:val="right"/>
            </w:pPr>
            <w:r>
              <w:t>13 MRSA §1956</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§5 (NEW).]</w:t>
      </w:r>
    </w:p>
    <w:p>
      <w:pPr>
        <w:jc w:val="both"/>
        <w:spacing w:before="100" w:after="0"/>
        <w:ind w:start="360"/>
        <w:ind w:firstLine="360"/>
      </w:pPr>
      <w:r>
        <w:rPr>
          <w:b/>
        </w:rPr>
        <w:t>8</w:t>
        <w:t xml:space="preserve">.  </w:t>
      </w:r>
      <w:r>
        <w:rPr>
          <w:b/>
        </w:rPr>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left"/>
            </w:pPr>
            <w:r>
              <w:t xml:space="preserve">Committee on Judicial Responsibility and Disability</w:t>
            </w:r>
          </w:p>
        </w:tc>
        <w:tc>
          <w:tcPr>
            <w:tcW w:w="2434" w:type="dxa"/>
          </w:tcPr>
          <w:p>
            <w:pPr>
              <w:jc w:val="left"/>
            </w:pPr>
            <w:r>
              <w:t xml:space="preserve">Set by Supreme Judicial Court</w:t>
            </w:r>
          </w:p>
        </w:tc>
        <w:tc>
          <w:tcPr>
            <w:tcW w:w="2074" w:type="dxa"/>
          </w:tcPr>
          <w:p>
            <w:pPr>
              <w:jc w:val="right"/>
            </w:pPr>
            <w:r>
              <w:t>4 MRSA §9‑B</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381, §2 (NEW).]</w:t>
      </w:r>
    </w:p>
    <w:p>
      <w:pPr>
        <w:jc w:val="both"/>
        <w:spacing w:before="100" w:after="100"/>
        <w:ind w:start="360"/>
        <w:ind w:firstLine="360"/>
      </w:pPr>
      <w:r>
        <w:rPr>
          <w:b/>
        </w:rPr>
        <w:t>9</w:t>
        <w:t xml:space="preserve">.  </w:t>
      </w:r>
      <w:r>
        <w:rPr>
          <w:b/>
        </w:rPr>
        <w:t xml:space="preserve">Baxter Compensation Program Compensation Panel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C, §2 (RP).]</w:t>
      </w:r>
    </w:p>
    <w:p>
      <w:pPr>
        <w:jc w:val="both"/>
        <w:spacing w:before="100" w:after="0"/>
        <w:ind w:start="360"/>
        <w:ind w:firstLine="360"/>
      </w:pPr>
      <w:r>
        <w:rPr>
          <w:b/>
        </w:rPr>
        <w:t>10</w:t>
        <w:t xml:space="preserve">.  </w:t>
      </w:r>
      <w:r>
        <w:rPr>
          <w:b/>
        </w:rPr>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left"/>
            </w:pPr>
            <w:r>
              <w:t xml:space="preserve">Maine Board of Tax Appeals</w:t>
            </w:r>
          </w:p>
        </w:tc>
        <w:tc>
          <w:tcPr>
            <w:tcW w:w="2434" w:type="dxa"/>
          </w:tcPr>
          <w:p>
            <w:pPr>
              <w:jc w:val="left"/>
            </w:pPr>
            <w:r>
              <w:t xml:space="preserve">$100/Day</w:t>
            </w:r>
          </w:p>
        </w:tc>
        <w:tc>
          <w:tcPr>
            <w:tcW w:w="2074" w:type="dxa"/>
          </w:tcPr>
          <w:p>
            <w:pPr>
              <w:jc w:val="right"/>
            </w:pPr>
            <w:r>
              <w:t>36 MRSA §151‑D</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§5 (NEW). PL 1989, c. 503, §A7 (AMD). PL 1993, c. 381, §2 (AMD). PL 1995, c. 438, §1 (AMD). PL 1997, c. 643, §E4 (AMD). PL 2001, c. 439, §T3 (AMD). PL 2001, c. 667, §C2 (AMD). PL 2011, c. 694, §1 (AMD). PL 2019, c. 501,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§12004-B. Arbitration, mediation, valuation and board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§12004-B. Arbitration, mediation, valuation and board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§12004-B. ARBITRATION, MEDIATION, VALUATION AND BOARD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