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12002-D</w:t>
        <w:t xml:space="preserve">.  </w:t>
      </w:r>
      <w:r>
        <w:rPr>
          <w:b/>
        </w:rPr>
        <w:t xml:space="preserve">Compensation and expenses of excluded boards</w:t>
      </w:r>
    </w:p>
    <w:p>
      <w:pPr>
        <w:jc w:val="both"/>
        <w:spacing w:before="100" w:after="100"/>
        <w:ind w:start="360"/>
        <w:ind w:firstLine="360"/>
      </w:pPr>
      <w:r>
        <w:rPr/>
      </w:r>
      <w:r>
        <w:rPr/>
      </w:r>
      <w:r>
        <w:t>Sections 12002‑A</w:t>
      </w:r>
      <w:r>
        <w:t xml:space="preserve">, </w:t>
      </w:r>
      <w:r>
        <w:t>12002‑B</w:t>
      </w:r>
      <w:r>
        <w:t xml:space="preserve"> and </w:t>
      </w:r>
      <w:r>
        <w:t>12002‑C</w:t>
      </w:r>
      <w:r>
        <w:t xml:space="preserve"> governing the payment of compensation and reimbursement of expenses to boards subject to this chapter do not apply to boards that are excluded from this chapter, as described in </w:t>
      </w:r>
      <w:r>
        <w:t>section 12002, subsection 1, paragraphs A</w:t>
      </w:r>
      <w:r>
        <w:t xml:space="preserve"> to </w:t>
      </w:r>
      <w:r>
        <w:t>G</w:t>
      </w:r>
      <w:r>
        <w:t xml:space="preserve">.  Compensation and reimbursement of expenses of boards excluded by </w:t>
      </w:r>
      <w:r>
        <w:t>section 12002, subsection 1</w:t>
      </w:r>
      <w:r>
        <w:t xml:space="preserve">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665, §1 (AMD).]</w:t>
      </w:r>
    </w:p>
    <w:p>
      <w:pPr>
        <w:jc w:val="both"/>
        <w:spacing w:before="100" w:after="100"/>
        <w:ind w:start="360"/>
        <w:ind w:firstLine="360"/>
      </w:pPr>
      <w:r>
        <w:rPr/>
      </w:r>
      <w:r>
        <w:rPr/>
      </w:r>
      <w:r>
        <w:t xml:space="preserve">The members of a board excluded from this chapter who are not otherwise compensated for their time serving on the board by their employer or the entity they represent may be compensated in an amount not to exceed the legislative per diem for their time and reimbursed for expenses, including meals and refreshments provided during the meeting of the board, to the extent that the department or agency of State Government with which the board is associated has sufficient money in the budget of the department or agency to provide the compensation and reimburse the expenses.  The associated department or agency shall determine the amount and manner of compensation provided to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2023, c. 665,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732, §1 (NEW). PL 2023, c. 665,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§12002-D. Compensation and expenses of excluded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§12002-D. Compensation and expenses of excluded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§12002-D. COMPENSATION AND EXPENSES OF EXCLUDED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