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Appointment of clerk or registered agent</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A clerk or registered agent filing must state:</w:t>
      </w:r>
    </w:p>
    <w:p>
      <w:pPr>
        <w:jc w:val="both"/>
        <w:spacing w:before="100" w:after="0"/>
        <w:ind w:start="720"/>
      </w:pPr>
      <w:r>
        <w:rPr/>
        <w:t>A</w:t>
        <w:t xml:space="preserve">.  </w:t>
      </w:r>
      <w:r>
        <w:rPr/>
      </w:r>
      <w:r>
        <w:t xml:space="preserve">The name of the represented entity's commercial clerk or commercial registered agent;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entity does not have a commercial clerk or commercial registered agent:</w:t>
      </w:r>
    </w:p>
    <w:p>
      <w:pPr>
        <w:jc w:val="both"/>
        <w:spacing w:before="100" w:after="0"/>
        <w:ind w:start="1080"/>
      </w:pPr>
      <w:r>
        <w:rPr/>
        <w:t>(</w:t>
        <w:t>1</w:t>
        <w:t xml:space="preserve">)  </w:t>
      </w:r>
      <w:r>
        <w:rPr/>
      </w:r>
      <w:r>
        <w:t xml:space="preserve">The name and address of the entity's noncommercial clerk or noncommercial registered agent; or</w:t>
      </w:r>
    </w:p>
    <w:p>
      <w:pPr>
        <w:jc w:val="both"/>
        <w:spacing w:before="100" w:after="0"/>
        <w:ind w:start="1080"/>
      </w:pPr>
      <w:r>
        <w:rPr/>
        <w:t>(</w:t>
        <w:t>2</w:t>
        <w:t xml:space="preserve">)  </w:t>
      </w:r>
      <w:r>
        <w:rPr/>
      </w:r>
      <w:r>
        <w:t xml:space="preserve">The title of an office or other position with the entity if service of process is to be sent to the person holding that office or position, and the address of the business office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Consent to serve as agent.</w:t>
        <w:t xml:space="preserve"> </w:t>
      </w:r>
      <w:r>
        <w:t xml:space="preserve"> </w:t>
      </w:r>
      <w:r>
        <w:t xml:space="preserve">The appointment of a clerk or a registered agent pursuant to </w:t>
      </w:r>
      <w:r>
        <w:t>subsection 1, paragraph A</w:t>
      </w:r>
      <w:r>
        <w:t xml:space="preserve"> or </w:t>
      </w:r>
      <w:r>
        <w:t>subsection 1, paragraph B</w:t>
      </w:r>
      <w:r>
        <w:t xml:space="preserve">, subparagraph (1) is an affirmation by the represented entity that the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w:t>
        <w:t xml:space="preserve">.  </w:t>
      </w:r>
      <w:r>
        <w:rPr>
          <w:b/>
        </w:rPr>
        <w:t xml:space="preserve">Daily list of filings.</w:t>
        <w:t xml:space="preserve"> </w:t>
      </w:r>
      <w:r>
        <w:t xml:space="preserve"> </w:t>
      </w:r>
      <w:r>
        <w:t xml:space="preserve">The Secretary of State shall make available in a record as soon as practicable a daily list of filings that contain the name of a clerk or a registered agent.  The list must:</w:t>
      </w:r>
    </w:p>
    <w:p>
      <w:pPr>
        <w:jc w:val="both"/>
        <w:spacing w:before="100" w:after="0"/>
        <w:ind w:start="720"/>
      </w:pPr>
      <w:r>
        <w:rPr/>
        <w:t>A</w:t>
        <w:t xml:space="preserve">.  </w:t>
      </w:r>
      <w:r>
        <w:rPr/>
      </w:r>
      <w:r>
        <w:t xml:space="preserve">Be available for at least 14 calendar days;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List in alphabetical order the names of the clerks or registered agents;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 the type of filing and name of the represented entity making the filing.</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 Appointment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Appointment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§105. APPOINTMENT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