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Payment of wages</w:t>
      </w:r>
    </w:p>
    <w:p>
      <w:pPr>
        <w:jc w:val="both"/>
        <w:spacing w:before="100" w:after="100"/>
        <w:ind w:start="360"/>
        <w:ind w:firstLine="360"/>
      </w:pPr>
      <w:r>
        <w:rPr/>
      </w:r>
      <w:r>
        <w:rPr/>
      </w:r>
      <w:r>
        <w:t xml:space="preserve">All state officers and employees, except temporary and seasonal employees, shall be paid their salaries or wages biweekly, the dates of payment to be determined by the State Controller. Any state officer, whose salary is established at an annual rate, shall receive biweekly a sum which will, in the year's aggregate, most nearly equal the annual rate. Payment may be made once in each calendar month to such state officers and employees as consent to such time of payment. Temporary and seasonal employees of the State shall be paid at such times as the State Controller shall specify.</w:t>
      </w:r>
      <w:r>
        <w:t xml:space="preserve">  </w:t>
      </w:r>
      <w:r xmlns:wp="http://schemas.openxmlformats.org/drawingml/2010/wordprocessingDrawing" xmlns:w15="http://schemas.microsoft.com/office/word/2012/wordml">
        <w:rPr>
          <w:rFonts w:ascii="Arial" w:hAnsi="Arial" w:cs="Arial"/>
          <w:sz w:val="22"/>
          <w:szCs w:val="22"/>
        </w:rPr>
        <w:t xml:space="preserve">[PL 1981, c. 470,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§C6 (AMD). PL 1981, c. 470, §A6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