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SPECIAL COMMISSION ON GOVERNMENTAL RESTRUCTURING</w:t>
      </w:r>
    </w:p>
    <w:p>
      <w:pPr>
        <w:jc w:val="center"/>
        <w:ind w:start="360"/>
        <w:spacing w:before="300" w:after="300"/>
      </w:pPr>
      <w:r>
        <w:rPr>
          <w:b/>
        </w:rPr>
        <w:t>(REPEALED)</w:t>
      </w:r>
    </w:p>
    <w:p>
      <w:pPr>
        <w:jc w:val="both"/>
        <w:spacing w:before="100" w:after="100"/>
        <w:ind w:start="1080" w:hanging="720"/>
      </w:pPr>
      <w:r>
        <w:rPr>
          <w:b/>
        </w:rPr>
        <w:t>§</w:t>
        <w:t>15193</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§S2 (NEW). PL 1991, c. 139,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405. SPECIAL COMMISSION ON GOVERNMENTAL RESTRUCTURING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SPECIAL COMMISSION ON GOVERNMENTAL RESTRUCTURING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405. SPECIAL COMMISSION ON GOVERNMENTAL RESTRUCTURING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