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316-B</w:t>
      </w:r>
    </w:p>
    <w:p>
      <w:pPr>
        <w:jc w:val="center"/>
        <w:ind w:start="360"/>
        <w:spacing w:before="300" w:after="300"/>
      </w:pPr>
      <w:r>
        <w:rPr>
          <w:b/>
        </w:rPr>
        <w:t xml:space="preserve">SEXUAL ASSAULT FORENSIC EXAMINER ADVISORY BOARD</w:t>
      </w:r>
    </w:p>
    <w:p>
      <w:pPr>
        <w:jc w:val="both"/>
        <w:spacing w:before="100" w:after="100"/>
        <w:ind w:start="1080" w:hanging="720"/>
      </w:pPr>
      <w:r>
        <w:rPr>
          <w:b/>
        </w:rPr>
        <w:t>§</w:t>
        <w:t>3360-N</w:t>
        <w:t xml:space="preserve">.  </w:t>
      </w:r>
      <w:r>
        <w:rPr>
          <w:b/>
        </w:rPr>
        <w:t xml:space="preserve">Sexual Assault Forensic Examiner Advisory Board established; membership</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 Sexual Assault Forensic Examiner Advisory Board, referred to in this chapter as the "board," established under </w:t>
      </w:r>
      <w:r>
        <w:t>section 12004‑J, subsection 13</w:t>
      </w:r>
      <w:r>
        <w:t xml:space="preserve">, is established within the Department of Health and Human Services.  The board consists of 15 members appointed by the Commissioner of Health and Human Services.  Members must include the following:</w:t>
      </w:r>
    </w:p>
    <w:p>
      <w:pPr>
        <w:jc w:val="both"/>
        <w:spacing w:before="100" w:after="0"/>
        <w:ind w:start="720"/>
      </w:pPr>
      <w:r>
        <w:rPr/>
        <w:t>A</w:t>
        <w:t xml:space="preserve">.  </w:t>
      </w:r>
      <w:r>
        <w:rPr/>
      </w:r>
      <w:r>
        <w:t xml:space="preserve">One physician licensed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B</w:t>
        <w:t xml:space="preserve">.  </w:t>
      </w:r>
      <w:r>
        <w:rPr/>
      </w:r>
      <w:r>
        <w:t xml:space="preserve">One member representing a school of nursing;</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C</w:t>
        <w:t xml:space="preserve">.  </w:t>
      </w:r>
      <w:r>
        <w:rPr/>
      </w:r>
      <w:r>
        <w:t xml:space="preserve">Two sexual assault nurse examiners;</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D</w:t>
        <w:t xml:space="preserve">.  </w:t>
      </w:r>
      <w:r>
        <w:rPr/>
      </w:r>
      <w:r>
        <w:t xml:space="preserve">One representative from a sexual assault support center;</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E</w:t>
        <w:t xml:space="preserve">.  </w:t>
      </w:r>
      <w:r>
        <w:rPr/>
      </w:r>
      <w:r>
        <w:t xml:space="preserve">One member from a statewide coalition against sexual assault;</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F</w:t>
        <w:t xml:space="preserve">.  </w:t>
      </w:r>
      <w:r>
        <w:rPr/>
      </w:r>
      <w:r>
        <w:t xml:space="preserve">One survivor of sexual assault;</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G</w:t>
        <w:t xml:space="preserve">.  </w:t>
      </w:r>
      <w:r>
        <w:rPr/>
      </w:r>
      <w:r>
        <w:t xml:space="preserve">One attorney from the Department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2015, c. 267, Pt. GG, §2 (AMD).]</w:t>
      </w:r>
    </w:p>
    <w:p>
      <w:pPr>
        <w:jc w:val="both"/>
        <w:spacing w:before="100" w:after="0"/>
        <w:ind w:start="720"/>
      </w:pPr>
      <w:r>
        <w:rPr/>
        <w:t>H</w:t>
        <w:t xml:space="preserve">.  </w:t>
      </w:r>
      <w:r>
        <w:rPr/>
      </w:r>
      <w:r>
        <w:t xml:space="preserve">One employee of the Maine State Police Crime Laboratory;</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I</w:t>
        <w:t xml:space="preserve">.  </w:t>
      </w:r>
      <w:r>
        <w:rPr/>
      </w:r>
      <w:r>
        <w:t xml:space="preserve">One member from a statewide association of prosecutors;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J</w:t>
        <w:t xml:space="preserve">.  </w:t>
      </w:r>
      <w:r>
        <w:rPr/>
      </w:r>
      <w:r>
        <w:t xml:space="preserve">One member from a statewide association of hospitals;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K</w:t>
        <w:t xml:space="preserve">.  </w:t>
      </w:r>
      <w:r>
        <w:rPr/>
      </w:r>
      <w:r>
        <w:t xml:space="preserve">One member who is a forensic pediatric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K-1</w:t>
        <w:t xml:space="preserve">.  </w:t>
      </w:r>
      <w:r>
        <w:rPr/>
      </w:r>
      <w:r>
        <w:t xml:space="preserve">One representative of law enforcement; and</w:t>
      </w:r>
      <w:r>
        <w:t xml:space="preserve">  </w:t>
      </w:r>
      <w:r xmlns:wp="http://schemas.openxmlformats.org/drawingml/2010/wordprocessingDrawing" xmlns:w15="http://schemas.microsoft.com/office/word/2012/wordml">
        <w:rPr>
          <w:rFonts w:ascii="Arial" w:hAnsi="Arial" w:cs="Arial"/>
          <w:sz w:val="22"/>
          <w:szCs w:val="22"/>
        </w:rPr>
        <w:t xml:space="preserve">[PL 2021, c. 118, §1 (NEW).]</w:t>
      </w:r>
    </w:p>
    <w:p>
      <w:pPr>
        <w:jc w:val="both"/>
        <w:spacing w:before="100" w:after="0"/>
        <w:ind w:start="720"/>
      </w:pPr>
      <w:r>
        <w:rPr/>
        <w:t>L</w:t>
        <w:t xml:space="preserve">.  </w:t>
      </w:r>
      <w:r>
        <w:rPr/>
      </w:r>
      <w:r>
        <w:t xml:space="preserve">Two public members.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118,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The term of each member of the board is 3 years.  When a vacancy occurs prior to the expiration of a term, the appointment to fill that vacancy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§2 (AMD).]</w:t>
      </w:r>
    </w:p>
    <w:p>
      <w:pPr>
        <w:jc w:val="both"/>
        <w:spacing w:before="100" w:after="0"/>
        <w:ind w:start="360"/>
        <w:ind w:firstLine="360"/>
      </w:pPr>
      <w:r>
        <w:rPr>
          <w:b/>
        </w:rPr>
        <w:t>3</w:t>
        <w:t xml:space="preserve">.  </w:t>
      </w:r>
      <w:r>
        <w:rPr>
          <w:b/>
        </w:rPr>
        <w:t xml:space="preserve">Chair.</w:t>
        <w:t xml:space="preserve"> </w:t>
      </w:r>
      <w:r>
        <w:t xml:space="preserve"> </w:t>
      </w:r>
      <w:r>
        <w:t xml:space="preserve">The Commissioner of Health and Human Services shall appoint a member to act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may not meet more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§1 (NEW).]</w:t>
      </w:r>
    </w:p>
    <w:p>
      <w:pPr>
        <w:jc w:val="both"/>
        <w:spacing w:before="100" w:after="0"/>
        <w:ind w:start="360"/>
        <w:ind w:firstLine="360"/>
      </w:pPr>
      <w:r>
        <w:rPr>
          <w:b/>
        </w:rPr>
        <w:t>5</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2015, c. 267, Pt. GG, §2 (AMD). PL 2021, c. 118, §1 (AMD). </w:t>
      </w:r>
    </w:p>
    <w:p>
      <w:pPr>
        <w:jc w:val="both"/>
        <w:spacing w:before="100" w:after="100"/>
        <w:ind w:start="1080" w:hanging="720"/>
      </w:pPr>
      <w:r>
        <w:rPr>
          <w:b/>
        </w:rPr>
        <w:t>§</w:t>
        <w:t>3360-O</w:t>
        <w:t xml:space="preserve">.  </w:t>
      </w:r>
      <w:r>
        <w:rPr>
          <w:b/>
        </w:rPr>
        <w:t xml:space="preserve">Duties</w:t>
      </w:r>
    </w:p>
    <w:p>
      <w:pPr>
        <w:jc w:val="both"/>
        <w:spacing w:before="100" w:after="100"/>
        <w:ind w:start="360"/>
        <w:ind w:firstLine="360"/>
      </w:pPr>
      <w:r>
        <w:rPr/>
      </w:r>
      <w:r>
        <w:rPr/>
      </w:r>
      <w:r>
        <w:t xml:space="preserve">The board shall advise and assist the State in promoting and supporting the statewide creation, growth and sustainability of sexual assault forensic examiner programs.  The board shall provide advice and assistance regarding training, technical assistance, standards and resources to the sexual assault forensic examiner programs.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100"/>
        <w:ind w:start="360"/>
        <w:ind w:firstLine="360"/>
      </w:pPr>
      <w:r>
        <w:rPr/>
      </w:r>
      <w:r>
        <w:rPr/>
      </w:r>
      <w:r>
        <w:t xml:space="preserve">The board may establish prerequisites applicable to persons who wish to participate in sexual assault forensic examiner training and authorize the issuance of certificates to those who complete the training.  The process of sexual assault forensic examiner training and issuance of certificates under this section does not constitute a license or licensing action under </w:t>
      </w:r>
      <w:r>
        <w:t>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2013, c. 68, §1 (AMD). </w:t>
      </w:r>
    </w:p>
    <w:p>
      <w:pPr>
        <w:jc w:val="both"/>
        <w:spacing w:before="100" w:after="100"/>
        <w:ind w:start="1080" w:hanging="720"/>
      </w:pPr>
      <w:r>
        <w:rPr>
          <w:b/>
        </w:rPr>
        <w:t>§</w:t>
        <w:t>3360-P</w:t>
        <w:t xml:space="preserve">.  </w:t>
      </w:r>
      <w:r>
        <w:rPr>
          <w:b/>
        </w:rPr>
        <w:t xml:space="preserve">Administration</w:t>
      </w:r>
    </w:p>
    <w:p>
      <w:pPr>
        <w:jc w:val="both"/>
        <w:spacing w:before="100" w:after="100"/>
        <w:ind w:start="360"/>
        <w:ind w:firstLine="360"/>
      </w:pPr>
      <w:r>
        <w:rPr/>
      </w:r>
      <w:r>
        <w:rPr/>
      </w:r>
      <w:r>
        <w:t xml:space="preserve">The Department of Health and Human Services shall provide general administrative oversight for the board's policies and responsibilities.  When appropriate, the Department of Health and Human Services may employ personnel necessary to carry out the purposes of the board; lease, rent or acquire adequate equipment and facilities; accept federal funds or grants that are available to carry out or implement the board's objectives; and provide technical assistance and training to sexual assault forensic examiners.</w:t>
      </w:r>
      <w:r>
        <w:t xml:space="preserve">  </w:t>
      </w:r>
      <w:r xmlns:wp="http://schemas.openxmlformats.org/drawingml/2010/wordprocessingDrawing" xmlns:w15="http://schemas.microsoft.com/office/word/2012/wordml">
        <w:rPr>
          <w:rFonts w:ascii="Arial" w:hAnsi="Arial" w:cs="Arial"/>
          <w:sz w:val="22"/>
          <w:szCs w:val="22"/>
        </w:rPr>
        <w:t xml:space="preserve">[PL 2015, c. 267, Pt. GG,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2015, c. 267, Pt. GG,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316-B. SEXUAL ASSAULT FORENSIC EXAMINER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316-B. SEXUAL ASSAULT FORENSIC EXAMINER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316-B. SEXUAL ASSAULT FORENSIC EXAMINER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