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151-C</w:t>
      </w:r>
    </w:p>
    <w:p>
      <w:pPr>
        <w:jc w:val="center"/>
        <w:ind w:start="360"/>
        <w:spacing w:before="300" w:after="300"/>
      </w:pPr>
      <w:r>
        <w:rPr>
          <w:b/>
        </w:rPr>
        <w:t xml:space="preserve">COMMISSION ON PERFORMANCE BUDGETING</w:t>
      </w:r>
    </w:p>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jc w:val="both"/>
        <w:spacing w:before="100" w:after="100"/>
        <w:ind w:start="1080" w:hanging="720"/>
      </w:pPr>
      <w:r>
        <w:rPr>
          <w:b/>
        </w:rPr>
        <w:t>§</w:t>
        <w:t>1710-P</w:t>
        <w:t xml:space="preserve">.  </w:t>
      </w:r>
      <w:r>
        <w:rPr>
          <w:b/>
        </w:rPr>
        <w:t xml:space="preserve">Performance budgeting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184, §§7-10 (AMD). PL 1997, c. 764, §6 (AMD). MRSA T. 5 §1710-Q (RP). </w:t>
      </w:r>
    </w:p>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151-C. COMMISSION ON PERFORMANCE BUDGETING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