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Power to prescribe rules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Power to prescribe rules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 POWER TO PRESCRIBE RULES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