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807-A</w:t>
        <w:t xml:space="preserve">.  </w:t>
      </w:r>
      <w:r>
        <w:rPr>
          <w:b/>
        </w:rPr>
        <w:t xml:space="preserve">Representation by Bureau of Unemployment Compensation, Department of the Attorney General or Bureau of Revenue Services employees</w:t>
      </w:r>
    </w:p>
    <w:p>
      <w:pPr>
        <w:jc w:val="both"/>
        <w:spacing w:before="100" w:after="100"/>
        <w:ind w:start="360"/>
        <w:ind w:firstLine="360"/>
      </w:pPr>
      <w:r>
        <w:rPr/>
      </w:r>
      <w:r>
        <w:rPr/>
      </w:r>
      <w:r>
        <w:t xml:space="preserve">Upon the promulgation of and in accordance with rules adopted by the Supreme Judicial Court, employees of the Bureau of Unemployment Compensation may serve civil process and represent the bureau in District Court in disclosure proceedings pursuant to </w:t>
      </w:r>
      <w:r>
        <w:t>Title 14, chapter 502</w:t>
      </w:r>
      <w:r>
        <w:t xml:space="preserve">, ancillary to the collection of taxes and overpayments for which warrants have been issued pursuant to </w:t>
      </w:r>
      <w:r>
        <w:t>Title 26, chapter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560, Pt. G, §2 (AMD).]</w:t>
      </w:r>
    </w:p>
    <w:p>
      <w:pPr>
        <w:jc w:val="both"/>
        <w:spacing w:before="100" w:after="100"/>
        <w:ind w:start="360"/>
        <w:ind w:firstLine="360"/>
      </w:pPr>
      <w:r>
        <w:rPr/>
      </w:r>
      <w:r>
        <w:rPr/>
      </w:r>
      <w:r>
        <w:t xml:space="preserve">Upon promulgation of and in accordance with rules adopted by the Supreme Judicial Court, employees of the Department of Administrative and Financial Services, Bureau of Revenue Services may serve civil process and represent the bureau in District Court in disclosure proceedings pursuant to </w:t>
      </w:r>
      <w:r>
        <w:t>Title 14, chapter 502</w:t>
      </w:r>
      <w:r>
        <w:t xml:space="preserve">, ancillary to the collection of taxes for which warrants have been issued pursuant to </w:t>
      </w:r>
      <w:r>
        <w:t>Title 36</w:t>
      </w:r>
      <w:r>
        <w:t xml:space="preserve">, and may represent the State Tax Assessor in arraignment proceedings in District Court in cases in which a criminal complaint has been filed alleging violation of a provision of </w:t>
      </w:r>
      <w:r>
        <w:t>Title 36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683, Pt. A, §3 (RPR).]</w:t>
      </w:r>
    </w:p>
    <w:p>
      <w:pPr>
        <w:jc w:val="both"/>
        <w:spacing w:before="100" w:after="100"/>
        <w:ind w:start="360"/>
        <w:ind w:firstLine="360"/>
      </w:pPr>
      <w:r>
        <w:rPr/>
      </w:r>
      <w:r>
        <w:rPr/>
      </w:r>
      <w:r>
        <w:t xml:space="preserve">Upon the promulgation of and in accordance with rules adopted by the Supreme Judicial Court, employees of the Department of the Attorney General may serve civil process and represent the State in District Court in disclosure proceedings pursuant to </w:t>
      </w:r>
      <w:r>
        <w:t>Title 14, chapters 502</w:t>
      </w:r>
      <w:r>
        <w:t xml:space="preserve"> and </w:t>
      </w:r>
      <w:r>
        <w:t>502‑A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248, §1 (AMD).]</w:t>
      </w:r>
    </w:p>
    <w:p>
      <w:pPr>
        <w:jc w:val="both"/>
        <w:spacing w:before="100" w:after="100"/>
        <w:ind w:start="360"/>
        <w:ind w:firstLine="360"/>
      </w:pPr>
      <w:r>
        <w:rPr/>
      </w:r>
      <w:r>
        <w:rPr/>
      </w:r>
      <w:r>
        <w:t xml:space="preserve">If the Supreme Judicial Court adopts rules under this section, the rules must include the establishment of standards and a method to certify employees of the Bureau of Unemployment Compensation, the Department of the Attorney General and the Bureau of Revenue Services who may represent the State in court under this section as being familiar with court procedures.</w:t>
      </w:r>
      <w:r>
        <w:t xml:space="preserve">  </w:t>
      </w:r>
      <w:r xmlns:wp="http://schemas.openxmlformats.org/drawingml/2010/wordprocessingDrawing" xmlns:w15="http://schemas.microsoft.com/office/word/2012/wordml">
        <w:rPr>
          <w:rFonts w:ascii="Arial" w:hAnsi="Arial" w:cs="Arial"/>
          <w:sz w:val="22"/>
          <w:szCs w:val="22"/>
        </w:rPr>
        <w:t xml:space="preserve">[PL 2003, c. 278,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598, §2 (NEW). PL 1987, c. 497, §1 (AMD). PL 1989, c. 508, §1 (AMD). PL 1995, c. 560, §G2 (AMD). PL 1997, c. 526, §14 (AMD). PL 2003, c. 278, §4 (AMD). PL 2005, c. 218, §1 (AMD). PL 2005, c. 332, §1 (AMD). PL 2005, c. 683, §A3 (AMD). PL 2007, c. 248,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§807-A. Representation by Bureau of Unemployment Compensation, Department of the Attorney General or Bureau of Revenue Services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§807-A. Representation by Bureau of Unemployment Compensation, Department of the Attorney General or Bureau of Revenue Services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§807-A. REPRESENTATION BY BUREAU OF UNEMPLOYMENT COMPENSATION, DEPARTMENT OF THE ATTORNEY GENERAL OR BUREAU OF REVENUE SERVICES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