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Application</w:t>
      </w:r>
    </w:p>
    <w:p>
      <w:pPr>
        <w:jc w:val="both"/>
        <w:spacing w:before="100" w:after="100"/>
        <w:ind w:start="360"/>
        <w:ind w:firstLine="360"/>
      </w:pPr>
      <w:r>
        <w:rPr>
          <w:b/>
        </w:rPr>
        <w:t>1</w:t>
        <w:t xml:space="preserve">.  </w:t>
      </w:r>
      <w:r>
        <w:rPr>
          <w:b/>
        </w:rPr>
        <w:t xml:space="preserve">Application to services.</w:t>
        <w:t xml:space="preserve"> </w:t>
      </w:r>
      <w:r>
        <w:t xml:space="preserve"> </w:t>
      </w:r>
      <w:r>
        <w:t xml:space="preserve">This subchapter applies to court reporting services performed in this State, whether a party appears in person or by remote means, provided by:</w:t>
      </w:r>
    </w:p>
    <w:p>
      <w:pPr>
        <w:jc w:val="both"/>
        <w:spacing w:before="100" w:after="0"/>
        <w:ind w:start="720"/>
      </w:pPr>
      <w:r>
        <w:rPr/>
        <w:t>A</w:t>
        <w:t xml:space="preserve">.  </w:t>
      </w:r>
      <w:r>
        <w:rPr/>
      </w:r>
      <w:r>
        <w:t xml:space="preserve">A court reporter or court reporting services provider, whether or not based in the State, in connection with a legal proceeding that is commenced or maintained in this State; or</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A court reporter or court reporting services provider based in this State in connection with a legal proceeding that is commenced or maintained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Application to Judicial Branch.</w:t>
        <w:t xml:space="preserve"> </w:t>
      </w:r>
      <w:r>
        <w:t xml:space="preserve"> </w:t>
      </w:r>
      <w:r>
        <w:t xml:space="preserve">This subchapter does not apply to court reporting services performed by employees of the Judicial Branch or persons transcribing legal proceedings for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§779.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