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General jurisdiction; control of records</w:t>
      </w:r>
    </w:p>
    <w:p>
      <w:pPr>
        <w:jc w:val="both"/>
        <w:spacing w:before="100" w:after="100"/>
        <w:ind w:start="360"/>
        <w:ind w:firstLine="360"/>
      </w:pPr>
      <w:r>
        <w:rPr/>
      </w:r>
      <w:r>
        <w:rPr/>
      </w:r>
      <w:r>
        <w:t xml:space="preserve">The Supreme Judicial Court may exercise its jurisdiction according to the common law not inconsistent with the Constitution or any statute, and may punish contempts against its authority by fine and imprisonment, or either, and administer oaths. It has general superintendence of all inferior courts for the prevention and correction of errors and abuses where the law does not expressly provide a remedy and has control of all records and documents in the custody of its clerks. Whenever justice or the public good requires, it may order the expunging from the records and papers on file in any case which has gone to judgment of any name or other part thereof unnecessary to the purpose and effect of said judgment. It may issue all writs and processes, not within the exclusive jurisdiction of the Superior Court, necessary for the furtherance of justice or the execution of the laws in the name of the State under the seal of said court, attested by any justice not a party or interested in the suit and signed by the clerk.</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 General jurisdiction; control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General jurisdiction; control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§7. GENERAL JURISDICTION; CONTROL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