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To reduce the overcrowding of prisons.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