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 Additional fee revenue dedicated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Additional fee revenue dedicated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§28. ADDITIONAL FEE REVENUE DEDICATED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