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Continuing disclosure</w:t>
      </w:r>
    </w:p>
    <w:p>
      <w:pPr>
        <w:jc w:val="both"/>
        <w:spacing w:before="100" w:after="100"/>
        <w:ind w:start="360"/>
        <w:ind w:firstLine="360"/>
      </w:pPr>
      <w:r>
        <w:rPr/>
      </w:r>
      <w:r>
        <w:rPr/>
      </w:r>
      <w:r>
        <w:t xml:space="preserve">With respect to any securities of the authority, the Treasurer of State may enter into any agreement for the benefit of holders of securities of the authority to provide annual financial information with respect to the State in order to assist underwriters of the securities of the authority in complying with any applicable regulation promulgated by the United States Securities and Exchange Commission with respect to annual financial information.</w:t>
      </w:r>
      <w:r>
        <w:t xml:space="preserve">  </w:t>
      </w:r>
      <w:r xmlns:wp="http://schemas.openxmlformats.org/drawingml/2010/wordprocessingDrawing" xmlns:w15="http://schemas.microsoft.com/office/word/2012/wordml">
        <w:rPr>
          <w:rFonts w:ascii="Arial" w:hAnsi="Arial" w:cs="Arial"/>
          <w:sz w:val="22"/>
          <w:szCs w:val="22"/>
        </w:rPr>
        <w:t xml:space="preserve">[PL 1997, c. 523,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§1620. Continuing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Continuing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§1620. CONTINUING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