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1610-H</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$23,000,000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2015, c. 267, Pt. 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M,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§1610-H.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§1610-H.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§1610-H.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