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 Place for holding court; suitable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Place for holding court; suitable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 PLACE FOR HOLDING COURT; SUITABLE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