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Authority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Authority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§114. AUTHORITY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