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Conferences</w:t>
      </w:r>
    </w:p>
    <w:p>
      <w:pPr>
        <w:jc w:val="both"/>
        <w:spacing w:before="100" w:after="100"/>
        <w:ind w:start="360"/>
        <w:ind w:firstLine="360"/>
      </w:pPr>
      <w:r>
        <w:rPr/>
      </w:r>
      <w:r>
        <w:rPr/>
      </w:r>
      <w:r>
        <w:t xml:space="preserve">The Chief Justice of the Supreme Judicial Court may from time to time call together the several Justices of the Superior Court at such place as the Chief Justice may appoint for conference as to the conduct and dispatch of judicial business and interchange of views in matters of practice in the court. In addition to their salaries and expenses in holding the several terms of court to which they are assigned, the several justices are entitled to their actual cash disbursements in attending such conferences.</w:t>
      </w:r>
      <w:r>
        <w:t xml:space="preserve">  </w:t>
      </w:r>
      <w:r xmlns:wp="http://schemas.openxmlformats.org/drawingml/2010/wordprocessingDrawing" xmlns:w15="http://schemas.microsoft.com/office/word/2012/wordml">
        <w:rPr>
          <w:rFonts w:ascii="Arial" w:hAnsi="Arial" w:cs="Arial"/>
          <w:sz w:val="22"/>
          <w:szCs w:val="22"/>
        </w:rPr>
        <w:t xml:space="preserve">[PL 2019, c. 475,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 Conferences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Conferences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§106. CONFERENCES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