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Misclassification of employees</w:t>
      </w:r>
    </w:p>
    <w:p>
      <w:pPr>
        <w:jc w:val="both"/>
        <w:spacing w:before="100" w:after="100"/>
        <w:ind w:start="360"/>
        <w:ind w:firstLine="360"/>
      </w:pPr>
      <w:r>
        <w:rPr/>
      </w:r>
      <w:r>
        <w:rPr/>
      </w:r>
      <w:r>
        <w:t xml:space="preserve">An employer with a currently approved workers' compensation policy or a currently accepted self-insurance workers' compensation policy that has misclassified one or more employees has failed to secure payment of compensation within the meaning of </w:t>
      </w:r>
      <w:r>
        <w:t>section 324, subsection 3</w:t>
      </w:r>
      <w:r>
        <w:t xml:space="preserve"> and is subject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2015, c. 469,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469, §7 (AMD). RR 2017, c. 1,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Misclassification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Misclassification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§407. MISCLASSIFICATION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