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Notices of assent to be posted</w:t>
      </w:r>
    </w:p>
    <w:p>
      <w:pPr>
        <w:jc w:val="both"/>
        <w:spacing w:before="100" w:after="100"/>
        <w:ind w:start="360"/>
        <w:ind w:firstLine="360"/>
      </w:pPr>
      <w:r>
        <w:rPr/>
      </w:r>
      <w:r>
        <w:rPr/>
      </w:r>
      <w:r>
        <w:t xml:space="preserve">A notice in a form as the board approves, stating that the employer has conformed to this Act, together with other information as the board determines, must be posted by the employer and kept posted by the employer in each of the employer's mills, factories or places of business.  The notice must be conspicuous and posted in a place accessible to the employer's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Notices of assent to be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Notices of assent to be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§406. NOTICES OF ASSENT TO BE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