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Procedure upon notice of controversy or other indication of controversy;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Procedure upon notice of controversy or other indication of controversy;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§313. PROCEDURE UPON NOTICE OF CONTROVERSY OR OTHER INDICATION OF CONTROVERSY;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