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615</w:t>
        <w:t xml:space="preserve">.  </w:t>
      </w:r>
      <w:r>
        <w:rPr>
          <w:b/>
        </w:rPr>
        <w:t xml:space="preserve">Disability due to radioactive properties</w:t>
      </w:r>
    </w:p>
    <w:p>
      <w:pPr>
        <w:jc w:val="both"/>
        <w:spacing w:before="100" w:after="100"/>
        <w:ind w:start="360"/>
        <w:ind w:firstLine="360"/>
      </w:pPr>
      <w:r>
        <w:rPr/>
      </w:r>
      <w:r>
        <w:rPr/>
      </w:r>
      <w:r>
        <w:t xml:space="preserve">Notwithstanding </w:t>
      </w:r>
      <w:r>
        <w:t>section 606</w:t>
      </w:r>
      <w:r>
        <w:t xml:space="preserve"> or any other provision of this chapter, the employee need not be exposed to radioactive substances for a period of 60 days or more, and the time for filing claims does not begin to run in cases of incapacity due to exposure to radioactive substances until the later of the time after incapacity or the time the person claiming benefits knew, or by exercise of reasonable diligence should have known of the causal relationship between the employment and the employee's incapacity.</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§615. Disability due to radioactive properties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§615. Disability due to radioactive properties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§615. DISABILITY DUE TO RADIOACTIVE PROPERTIES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