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Subpoenas; evidence;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Subpoenas; evidence;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§309. SUBPOENAS; EVIDENCE;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