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w:t>
        <w:t xml:space="preserve">.  </w:t>
      </w:r>
      <w:r>
        <w:rPr>
          <w:b/>
        </w:rPr>
        <w:t xml:space="preserve">Payment in gross; bar</w:t>
      </w:r>
    </w:p>
    <w:p>
      <w:pPr>
        <w:jc w:val="both"/>
        <w:spacing w:before="100" w:after="100"/>
        <w:ind w:start="360"/>
        <w:ind w:firstLine="360"/>
      </w:pPr>
      <w:r>
        <w:rPr/>
      </w:r>
      <w:r>
        <w:rPr/>
      </w:r>
      <w:r>
        <w:t xml:space="preserve">If the damages in gross are paid within the time fixed, the judgment is a bar to any further complaint so long as the dam and flashboards remain at the same height, but if thereafter either is raised, a new complaint may be made by the owner of the lands flowed for any additional damages caused thereby, and the proceedings in said new complaint shall be as hereinbefore prescribed.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 Payment in gross; bar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 Payment in gross; bar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§707. PAYMENT IN GROSS; BAR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