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Relation to other laws</w:t>
      </w:r>
    </w:p>
    <w:p>
      <w:pPr>
        <w:jc w:val="both"/>
        <w:spacing w:before="100" w:after="100"/>
        <w:ind w:start="360"/>
        <w:ind w:firstLine="360"/>
      </w:pPr>
      <w:r>
        <w:rPr/>
      </w:r>
      <w:r>
        <w:rPr/>
      </w:r>
      <w:r>
        <w:t xml:space="preserve">Nothing in this subchapter may be construed to be a limitation on the authority of municipalities to enact ordinances to regulate the assignment or placement of moorings and other activities in their harbors.  These ordinances may include, but are not limited to:  A process for assigning mooring privileges and determining the location of moorings; a waiting list for the assignment of mooring privileges; a fee schedule; construction standards for moorings; time limits on the mooring of vessels; a process for appeals from decisions of the harbor master; provisions that recognize that mooring privileges in lawful existence on the effective date of an ordinance may be preserved or continued after adoption of that ordinance, the location and use to be determined by the harbor master or other appropriate local authority; and provisions that establish a harbor commission or committee to administer the ordinance or ordinances and oversee the duties of the harbor master.  Regulations adopted by the municipal officers under </w:t>
      </w:r>
      <w:r>
        <w:t>section 2</w:t>
      </w:r>
      <w:r>
        <w:t xml:space="preserve"> remain in effect unless the municipality's legislative body enacts an ordinance pertaining to the same matter pursuant to the Constitution of Maine, Article VIII, Part 2, and </w:t>
      </w:r>
      <w:r>
        <w:t>Title 30‑A, section 3001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89,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692, §§2,4 (NEW). PL 1987, c. 412, §§6,8 (AMD). PL 1987, c. 655, §5 (RPR). PL 1997, c. 89,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Relation to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Relation to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 RELATION TO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