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Power to arrest for assault</w:t>
      </w:r>
    </w:p>
    <w:p>
      <w:pPr>
        <w:jc w:val="both"/>
        <w:spacing w:before="100" w:after="100"/>
        <w:ind w:start="360"/>
        <w:ind w:firstLine="360"/>
      </w:pPr>
      <w:r>
        <w:rPr/>
      </w:r>
      <w:r>
        <w:rPr/>
      </w:r>
      <w:r>
        <w:t xml:space="preserve">Harbor masters, whose authority is not restricted as described in </w:t>
      </w:r>
      <w:r>
        <w:t>section 1</w:t>
      </w:r>
      <w:r>
        <w:t xml:space="preserve">, may arrest and deliver to the police authorities on shore any person committing an assault upon them or another person acting under their authority.</w:t>
      </w:r>
      <w:r>
        <w:t xml:space="preserve">  </w:t>
      </w:r>
      <w:r xmlns:wp="http://schemas.openxmlformats.org/drawingml/2010/wordprocessingDrawing" xmlns:w15="http://schemas.microsoft.com/office/word/2012/wordml">
        <w:rPr>
          <w:rFonts w:ascii="Arial" w:hAnsi="Arial" w:cs="Arial"/>
          <w:sz w:val="22"/>
          <w:szCs w:val="22"/>
        </w:rPr>
        <w:t xml:space="preserve">[PL 1985, c. 531,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531,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Power to arrest for assault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Power to arrest for assault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 POWER TO ARREST FOR ASSAULT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