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§480-II. SMALL-SCALE WIND ENERGY DEVELOPMENT;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