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423-A</w:t>
        <w:t xml:space="preserve">.  </w:t>
      </w:r>
      <w:r>
        <w:rPr>
          <w:b/>
        </w:rPr>
        <w:t xml:space="preserve">Discharge of waste from motor vehicles</w:t>
      </w:r>
    </w:p>
    <w:p>
      <w:pPr>
        <w:jc w:val="both"/>
        <w:spacing w:before="100" w:after="100"/>
        <w:ind w:start="360"/>
        <w:ind w:firstLine="360"/>
      </w:pPr>
      <w:r>
        <w:rPr/>
      </w:r>
      <w:r>
        <w:rPr/>
      </w:r>
      <w:r>
        <w:t xml:space="preserve">No person, firm, corporation or other legal entity may discharge, spill or permit to be discharged sewage, garbage or other pollutants from motor vehicles or motor vehicle trailers into the inland or coastal waters, or on the ice of the inland or coastal waters, or onto the land in such a manner that the sewage, garbage or other pollutants may fall or be washed into these waters, or in such manner that the drainage from the discharge may flow into these waters.  A person who violates the provisions of this section commits a civil violation subject to the provisions of </w:t>
      </w:r>
      <w:r>
        <w:t>section 349,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163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163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§423-A. Discharge of waste from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§423-A. Discharge of waste from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§423-A. DISCHARGE OF WASTE FROM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