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349-Q</w:t>
        <w:t xml:space="preserve">.  </w:t>
      </w:r>
      <w:r>
        <w:rPr>
          <w:b/>
        </w:rPr>
        <w:t xml:space="preserve">Application</w:t>
      </w:r>
    </w:p>
    <w:p>
      <w:pPr>
        <w:jc w:val="both"/>
        <w:spacing w:before="100" w:after="100"/>
        <w:ind w:start="360"/>
        <w:ind w:firstLine="360"/>
      </w:pPr>
      <w:r>
        <w:rPr/>
      </w:r>
      <w:r>
        <w:rPr/>
      </w:r>
      <w:r>
        <w:t xml:space="preserve">This subchapter does not limit any authority of the department to adjust or otherwise mitigate any penalty imposed or sought by the department for a violation when the regulated entity responsible for the violation does not receive an incentive under this subchapter for the same violation.</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§349-Q.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§349-Q.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§349-Q.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