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w:t>
        <w:t xml:space="preserve">.  </w:t>
      </w:r>
      <w:r>
        <w:rPr>
          <w:b/>
        </w:rPr>
        <w:t xml:space="preserve">Dealer as distributor</w:t>
      </w:r>
    </w:p>
    <w:p>
      <w:pPr>
        <w:jc w:val="both"/>
        <w:spacing w:before="100" w:after="100"/>
        <w:ind w:start="360"/>
        <w:ind w:firstLine="360"/>
      </w:pPr>
      <w:r>
        <w:rPr/>
      </w:r>
      <w:r>
        <w:rPr/>
      </w:r>
      <w:r>
        <w:t xml:space="preserve">Whenever a dealer or group of dealers receives a shipment or consignment of, or in any other manner acquires, beverage containers outside the State for sale to consumers in the State, the dealer or dealers shall comply with this chapter as if they were distributors, as well as dealers.</w:t>
      </w:r>
      <w:r>
        <w:t xml:space="preserve">  </w:t>
      </w:r>
      <w:r xmlns:wp="http://schemas.openxmlformats.org/drawingml/2010/wordprocessingDrawing" xmlns:w15="http://schemas.microsoft.com/office/word/2012/wordml">
        <w:rPr>
          <w:rFonts w:ascii="Arial" w:hAnsi="Arial" w:cs="Arial"/>
          <w:sz w:val="22"/>
          <w:szCs w:val="22"/>
        </w:rPr>
        <w:t xml:space="preserve">[PL 2015, c. 166,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§3104. Dealer as distributor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 Dealer as distributor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§3104. DEALER AS DISTRIBUTOR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